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700" w:hanging="3892"/>
        <w:spacing w:after="0" w:line="360" w:lineRule="auto"/>
        <w:tabs>
          <w:tab w:leader="none" w:pos="57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3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30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7" w:lineRule="exact"/>
        <w:rPr>
          <w:sz w:val="24"/>
          <w:szCs w:val="24"/>
          <w:color w:val="auto"/>
        </w:rPr>
      </w:pPr>
    </w:p>
    <w:tbl>
      <w:tblPr>
        <w:tblLayout w:type="fixed"/>
        <w:tblInd w:w="1400" w:type="dxa"/>
        <w:tblCellMar>
          <w:top w:w="0" w:type="dxa"/>
          <w:left w:w="0" w:type="dxa"/>
          <w:bottom w:w="0" w:type="dxa"/>
          <w:right w:w="0" w:type="dxa"/>
        </w:tblCellMar>
      </w:tblPr>
      <w:tr>
        <w:trPr>
          <w:trHeight w:val="149"/>
        </w:trPr>
        <w:tc>
          <w:tcPr>
            <w:tcW w:w="4800" w:type="dxa"/>
            <w:vAlign w:val="bottom"/>
          </w:tcPr>
          <w:p>
            <w:pPr>
              <w:jc w:val="center"/>
              <w:ind w:right="1788"/>
              <w:spacing w:after="0"/>
              <w:rPr>
                <w:sz w:val="20"/>
                <w:szCs w:val="20"/>
                <w:color w:val="auto"/>
              </w:rPr>
            </w:pPr>
            <w:r>
              <w:rPr>
                <w:rFonts w:ascii="Arial" w:cs="Arial" w:eastAsia="Arial" w:hAnsi="Arial"/>
                <w:sz w:val="13"/>
                <w:szCs w:val="13"/>
                <w:b w:val="1"/>
                <w:bCs w:val="1"/>
                <w:color w:val="auto"/>
                <w:w w:val="86"/>
              </w:rPr>
              <w:t>State of Israel</w:t>
            </w:r>
          </w:p>
        </w:tc>
        <w:tc>
          <w:tcPr>
            <w:tcW w:w="2860" w:type="dxa"/>
            <w:vAlign w:val="bottom"/>
          </w:tcPr>
          <w:p>
            <w:pPr>
              <w:jc w:val="right"/>
              <w:ind w:right="117"/>
              <w:spacing w:after="0"/>
              <w:rPr>
                <w:sz w:val="20"/>
                <w:szCs w:val="20"/>
                <w:color w:val="auto"/>
              </w:rPr>
            </w:pPr>
            <w:r>
              <w:rPr>
                <w:rFonts w:ascii="Arial" w:cs="Arial" w:eastAsia="Arial" w:hAnsi="Arial"/>
                <w:sz w:val="13"/>
                <w:szCs w:val="13"/>
                <w:b w:val="1"/>
                <w:bCs w:val="1"/>
                <w:color w:val="auto"/>
              </w:rPr>
              <w:t>46-1981974</w:t>
            </w:r>
          </w:p>
        </w:tc>
      </w:tr>
      <w:tr>
        <w:trPr>
          <w:trHeight w:val="135"/>
        </w:trPr>
        <w:tc>
          <w:tcPr>
            <w:tcW w:w="4800" w:type="dxa"/>
            <w:vAlign w:val="bottom"/>
          </w:tcPr>
          <w:p>
            <w:pPr>
              <w:jc w:val="center"/>
              <w:ind w:right="178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860" w:type="dxa"/>
            <w:vAlign w:val="bottom"/>
          </w:tcPr>
          <w:p>
            <w:pPr>
              <w:jc w:val="center"/>
              <w:ind w:left="181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800" w:type="dxa"/>
            <w:vAlign w:val="bottom"/>
          </w:tcPr>
          <w:p>
            <w:pPr>
              <w:jc w:val="center"/>
              <w:ind w:right="1808"/>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860" w:type="dxa"/>
            <w:vAlign w:val="bottom"/>
          </w:tcPr>
          <w:p>
            <w:pPr>
              <w:jc w:val="center"/>
              <w:ind w:left="1817"/>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800" w:type="dxa"/>
            <w:vAlign w:val="bottom"/>
          </w:tcPr>
          <w:p>
            <w:pPr>
              <w:jc w:val="center"/>
              <w:ind w:right="1808"/>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2860" w:type="dxa"/>
            <w:vAlign w:val="bottom"/>
          </w:tcPr>
          <w:p>
            <w:pPr>
              <w:spacing w:after="0"/>
              <w:rPr>
                <w:sz w:val="18"/>
                <w:szCs w:val="18"/>
                <w:color w:val="auto"/>
              </w:rPr>
            </w:pPr>
          </w:p>
        </w:tc>
      </w:tr>
      <w:tr>
        <w:trPr>
          <w:trHeight w:val="216"/>
        </w:trPr>
        <w:tc>
          <w:tcPr>
            <w:tcW w:w="4800" w:type="dxa"/>
            <w:vAlign w:val="bottom"/>
          </w:tcPr>
          <w:p>
            <w:pPr>
              <w:jc w:val="center"/>
              <w:ind w:right="1788"/>
              <w:spacing w:after="0"/>
              <w:rPr>
                <w:sz w:val="20"/>
                <w:szCs w:val="20"/>
                <w:color w:val="auto"/>
              </w:rPr>
            </w:pPr>
            <w:r>
              <w:rPr>
                <w:rFonts w:ascii="Arial" w:cs="Arial" w:eastAsia="Arial" w:hAnsi="Arial"/>
                <w:sz w:val="18"/>
                <w:szCs w:val="18"/>
                <w:b w:val="1"/>
                <w:bCs w:val="1"/>
                <w:color w:val="auto"/>
                <w:w w:val="91"/>
              </w:rPr>
              <w:t>San Diego, California</w:t>
            </w:r>
          </w:p>
        </w:tc>
        <w:tc>
          <w:tcPr>
            <w:tcW w:w="2860" w:type="dxa"/>
            <w:vAlign w:val="bottom"/>
          </w:tcPr>
          <w:p>
            <w:pPr>
              <w:jc w:val="right"/>
              <w:ind w:right="277"/>
              <w:spacing w:after="0"/>
              <w:rPr>
                <w:sz w:val="20"/>
                <w:szCs w:val="20"/>
                <w:color w:val="auto"/>
              </w:rPr>
            </w:pPr>
            <w:r>
              <w:rPr>
                <w:rFonts w:ascii="Arial" w:cs="Arial" w:eastAsia="Arial" w:hAnsi="Arial"/>
                <w:sz w:val="13"/>
                <w:szCs w:val="13"/>
                <w:b w:val="1"/>
                <w:bCs w:val="1"/>
                <w:color w:val="auto"/>
              </w:rPr>
              <w:t>92121</w:t>
            </w:r>
          </w:p>
        </w:tc>
      </w:tr>
      <w:tr>
        <w:trPr>
          <w:trHeight w:val="164"/>
        </w:trPr>
        <w:tc>
          <w:tcPr>
            <w:tcW w:w="4800" w:type="dxa"/>
            <w:vAlign w:val="bottom"/>
          </w:tcPr>
          <w:p>
            <w:pPr>
              <w:jc w:val="center"/>
              <w:ind w:right="180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60" w:type="dxa"/>
            <w:vAlign w:val="bottom"/>
          </w:tcPr>
          <w:p>
            <w:pPr>
              <w:jc w:val="center"/>
              <w:ind w:left="1817"/>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1" w:lineRule="exact"/>
        <w:rPr>
          <w:sz w:val="24"/>
          <w:szCs w:val="24"/>
          <w:color w:val="auto"/>
        </w:rPr>
      </w:pPr>
    </w:p>
    <w:p>
      <w:pPr>
        <w:ind w:right="18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73" w:lineRule="exact"/>
        <w:rPr>
          <w:sz w:val="24"/>
          <w:szCs w:val="24"/>
          <w:color w:val="auto"/>
        </w:rPr>
      </w:pPr>
    </w:p>
    <w:p>
      <w:pPr>
        <w:ind w:right="80" w:firstLine="60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jc w:val="both"/>
        <w:ind w:right="44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59" w:lineRule="exact"/>
        <w:rPr>
          <w:sz w:val="24"/>
          <w:szCs w:val="24"/>
          <w:color w:val="auto"/>
        </w:rPr>
      </w:pPr>
    </w:p>
    <w:p>
      <w:pPr>
        <w:ind w:right="16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3" w:lineRule="exact"/>
        <w:rPr>
          <w:sz w:val="24"/>
          <w:szCs w:val="24"/>
          <w:color w:val="auto"/>
        </w:rPr>
      </w:pPr>
    </w:p>
    <w:p>
      <w:pPr>
        <w:ind w:left="620"/>
        <w:spacing w:after="0" w:line="207" w:lineRule="exact"/>
        <w:tabs>
          <w:tab w:leader="none" w:pos="812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95"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Ordinary Shares, par value NIS 0.07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ARCT</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620"/>
        <w:spacing w:after="0"/>
        <w:rPr>
          <w:sz w:val="20"/>
          <w:szCs w:val="20"/>
          <w:color w:val="auto"/>
        </w:rPr>
      </w:pPr>
      <w:r>
        <w:rPr>
          <w:rFonts w:ascii="Arial" w:cs="Arial" w:eastAsia="Arial" w:hAnsi="Arial"/>
          <w:sz w:val="16"/>
          <w:szCs w:val="16"/>
          <w:color w:val="auto"/>
        </w:rPr>
        <w:t>As of May 7, 2019, the registrant had 10,761,523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00" w:type="dxa"/>
            <w:vAlign w:val="bottom"/>
            <w:gridSpan w:val="19"/>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40" w:type="dxa"/>
            <w:vAlign w:val="bottom"/>
            <w:tcBorders>
              <w:top w:val="single" w:sz="8" w:color="0000EE"/>
            </w:tcBorders>
            <w:gridSpan w:val="4"/>
          </w:tcPr>
          <w:p>
            <w:pPr>
              <w:spacing w:after="0"/>
              <w:rPr>
                <w:sz w:val="18"/>
                <w:szCs w:val="18"/>
                <w:color w:val="auto"/>
              </w:rPr>
            </w:pPr>
          </w:p>
        </w:tc>
        <w:tc>
          <w:tcPr>
            <w:tcW w:w="746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2019 and December 31, 2018</w:t>
              </w:r>
            </w:hyperlink>
          </w:p>
        </w:tc>
        <w:tc>
          <w:tcPr>
            <w:tcW w:w="34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months ended March 31, 2019 and 2018</w:t>
              </w:r>
            </w:hyperlink>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Shareholders’ Equity for the three months ended March 31, 2019 and 2018</w:t>
              </w:r>
            </w:hyperlink>
          </w:p>
        </w:tc>
        <w:tc>
          <w:tcPr>
            <w:tcW w:w="5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2019 and 2018</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12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34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92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OTHER INFORMATION</w:t>
              </w:r>
            </w:hyperlink>
          </w:p>
        </w:tc>
        <w:tc>
          <w:tcPr>
            <w:tcW w:w="782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8"/>
                <w:szCs w:val="18"/>
                <w:color w:val="auto"/>
              </w:rPr>
            </w:pPr>
          </w:p>
        </w:tc>
        <w:tc>
          <w:tcPr>
            <w:tcW w:w="838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794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40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Provide the information required by Rule 10-01 of Regulation S-X (17 CFR Part 210). A smaller reporting company defined in Rule 12b-2 (§ 240.12b-2 of this chapter) may provide the information required by Article 8-03 of Regulation S-X (§ 210.8-03 of this chapter).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U.S. dollars in thousands, except par value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4,118</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38,065</w:t>
            </w:r>
          </w:p>
        </w:tc>
        <w:tc>
          <w:tcPr>
            <w:tcW w:w="28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30,556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10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Ordinary shares: NIS 0.07 par value; 30,000 shares authorized, 10,762 issued,</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Arial" w:cs="Arial" w:eastAsia="Arial" w:hAnsi="Arial"/>
                <w:sz w:val="18"/>
                <w:szCs w:val="18"/>
                <w:color w:val="auto"/>
              </w:rPr>
              <w:t>10,719 outstanding and 43 held in treasury at March 31, 2019; NIS 0.07 par</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Arial" w:cs="Arial" w:eastAsia="Arial" w:hAnsi="Arial"/>
                <w:sz w:val="18"/>
                <w:szCs w:val="18"/>
                <w:color w:val="auto"/>
              </w:rPr>
              <w:t>value; 30,000 shares authorized, 10,762 issued, 10,719 outstanding and</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43 held in treasury at December 31, 2018</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(52,561)</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(44,874)</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44,419</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line="270" w:lineRule="auto"/>
        <w:rPr>
          <w:sz w:val="20"/>
          <w:szCs w:val="20"/>
          <w:color w:val="auto"/>
        </w:rPr>
      </w:pPr>
      <w:r>
        <w:rPr>
          <w:rFonts w:ascii="Arial" w:cs="Arial" w:eastAsia="Arial" w:hAnsi="Arial"/>
          <w:sz w:val="18"/>
          <w:szCs w:val="18"/>
          <w:b w:val="1"/>
          <w:bCs w:val="1"/>
          <w:color w:val="auto"/>
        </w:rPr>
        <w:t>ARCTURUS THERAPEUTICS LTD. AND ITS SUBSIDIARIES CONDENSED CONSOLIDATED STATEMENTS OF OPERATIONS AND COMPREHENSIVE LOSS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26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200" w:type="dxa"/>
            <w:vAlign w:val="bottom"/>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1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1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200" w:type="dxa"/>
            <w:vAlign w:val="bottom"/>
            <w:tcBorders>
              <w:top w:val="single" w:sz="8" w:color="auto"/>
              <w:bottom w:val="single" w:sz="8" w:color="auto"/>
            </w:tcBorders>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1200" w:type="dxa"/>
            <w:vAlign w:val="bottom"/>
            <w:tcBorders>
              <w:top w:val="single" w:sz="8" w:color="auto"/>
            </w:tcBorders>
          </w:tcPr>
          <w:p>
            <w:pPr>
              <w:jc w:val="right"/>
              <w:ind w:right="101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Comprehensive loss:</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(6,884)</w:t>
            </w:r>
          </w:p>
        </w:tc>
        <w:tc>
          <w:tcPr>
            <w:tcW w:w="78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70"/>
        </w:trPr>
        <w:tc>
          <w:tcPr>
            <w:tcW w:w="7260" w:type="dxa"/>
            <w:vAlign w:val="bottom"/>
          </w:tcPr>
          <w:p>
            <w:pPr>
              <w:ind w:left="260"/>
              <w:spacing w:after="0"/>
              <w:rPr>
                <w:sz w:val="20"/>
                <w:szCs w:val="20"/>
                <w:color w:val="auto"/>
              </w:rPr>
            </w:pPr>
            <w:r>
              <w:rPr>
                <w:rFonts w:ascii="Arial" w:cs="Arial" w:eastAsia="Arial" w:hAnsi="Arial"/>
                <w:sz w:val="18"/>
                <w:szCs w:val="18"/>
                <w:color w:val="auto"/>
              </w:rPr>
              <w:t>Unrealized loss on short-term investments</w:t>
            </w:r>
          </w:p>
        </w:tc>
        <w:tc>
          <w:tcPr>
            <w:tcW w:w="1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2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1200" w:type="dxa"/>
            <w:vAlign w:val="bottom"/>
            <w:tcBorders>
              <w:top w:val="single" w:sz="8" w:color="auto"/>
              <w:bottom w:val="single" w:sz="8" w:color="auto"/>
            </w:tcBorders>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70" w:lineRule="auto"/>
        <w:rPr>
          <w:sz w:val="20"/>
          <w:szCs w:val="20"/>
          <w:color w:val="auto"/>
        </w:rPr>
      </w:pPr>
      <w:r>
        <w:rPr>
          <w:rFonts w:ascii="Arial" w:cs="Arial" w:eastAsia="Arial" w:hAnsi="Arial"/>
          <w:sz w:val="18"/>
          <w:szCs w:val="18"/>
          <w:b w:val="1"/>
          <w:bCs w:val="1"/>
          <w:color w:val="auto"/>
        </w:rPr>
        <w:t>ARCTURUS THERAPEUTICS LTD. AND ITS SUBSIDIARIES CONDENSED CONSOLIDATED STATEMENTS OF STOCKHOLDERS’ EQUITY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dollars in thousands</w:t>
      </w:r>
    </w:p>
    <w:p>
      <w:pPr>
        <w:spacing w:after="0" w:line="17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 March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Additional</w:t>
            </w:r>
          </w:p>
        </w:tc>
        <w:tc>
          <w:tcPr>
            <w:tcW w:w="13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135"/>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2340" w:type="dxa"/>
            <w:vAlign w:val="bottom"/>
            <w:gridSpan w:val="6"/>
          </w:tcPr>
          <w:p>
            <w:pPr>
              <w:ind w:left="54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4200" w:type="dxa"/>
            <w:vAlign w:val="bottom"/>
          </w:tcPr>
          <w:p>
            <w:pPr>
              <w:spacing w:after="0"/>
              <w:rPr>
                <w:sz w:val="14"/>
                <w:szCs w:val="14"/>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10,762</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58,302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(44,874)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(6,884)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(6,884)</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Effect of adoption of ASC 606</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58,701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(52,561</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Three Months Ended March 31, 2018</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2340" w:type="dxa"/>
            <w:vAlign w:val="bottom"/>
            <w:gridSpan w:val="6"/>
          </w:tcPr>
          <w:p>
            <w:pPr>
              <w:ind w:left="54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4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4"/>
                <w:szCs w:val="14"/>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10,699</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56,674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33,794</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(6,571)</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short-term investments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upon</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share options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20"/>
                <w:szCs w:val="20"/>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 March 31, 2018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10,738</w:t>
            </w:r>
          </w:p>
        </w:tc>
        <w:tc>
          <w:tcPr>
            <w:tcW w:w="20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57,003</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(29,660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160" w:type="dxa"/>
            <w:vAlign w:val="bottom"/>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27,551</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dollars in thousands</w:t>
      </w:r>
    </w:p>
    <w:p>
      <w:pPr>
        <w:spacing w:after="0" w:line="20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49530</wp:posOffset>
            </wp:positionV>
            <wp:extent cx="2092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2" w:lineRule="exact"/>
        <w:rPr>
          <w:sz w:val="20"/>
          <w:szCs w:val="20"/>
          <w:color w:val="auto"/>
        </w:rPr>
      </w:pPr>
    </w:p>
    <w:p>
      <w:pPr>
        <w:ind w:left="8600"/>
        <w:spacing w:after="0"/>
        <w:tabs>
          <w:tab w:leader="none" w:pos="103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(6,884)</w:t>
            </w:r>
          </w:p>
        </w:tc>
        <w:tc>
          <w:tcPr>
            <w:tcW w:w="960" w:type="dxa"/>
            <w:vAlign w:val="bottom"/>
            <w:gridSpan w:val="2"/>
          </w:tcPr>
          <w:p>
            <w:pPr>
              <w:jc w:val="right"/>
              <w:ind w:right="78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(6,571)</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equity-method investment</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(697)</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9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 and liability, net</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(5,411)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9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19,294</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9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(7,707)</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w:t>
            </w: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11,225</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Proceeds from exercise of share options</w:t>
            </w:r>
          </w:p>
        </w:tc>
        <w:tc>
          <w:tcPr>
            <w:tcW w:w="9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r>
      <w:tr>
        <w:trPr>
          <w:trHeight w:val="223"/>
        </w:trPr>
        <w:tc>
          <w:tcPr>
            <w:tcW w:w="8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(DECREASE) INCREASE IN CASH, CASH EQUIVALENTS AND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(5,489)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11,158</w:t>
            </w:r>
          </w:p>
        </w:tc>
        <w:tc>
          <w:tcPr>
            <w:tcW w:w="120" w:type="dxa"/>
            <w:vAlign w:val="bottom"/>
          </w:tcPr>
          <w:p>
            <w:pPr>
              <w:spacing w:after="0"/>
              <w:rPr>
                <w:sz w:val="18"/>
                <w:szCs w:val="18"/>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36,816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25,238</w:t>
            </w:r>
          </w:p>
        </w:tc>
        <w:tc>
          <w:tcPr>
            <w:tcW w:w="120" w:type="dxa"/>
            <w:vAlign w:val="bottom"/>
            <w:shd w:val="clear" w:color="auto" w:fill="CFF0FC"/>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31,327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36,396</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8000" w:type="dxa"/>
            <w:vAlign w:val="bottom"/>
          </w:tcPr>
          <w:p>
            <w:pPr>
              <w:spacing w:after="0"/>
              <w:rPr>
                <w:sz w:val="24"/>
                <w:szCs w:val="24"/>
                <w:color w:val="auto"/>
              </w:rPr>
            </w:pPr>
          </w:p>
        </w:tc>
        <w:tc>
          <w:tcPr>
            <w:tcW w:w="2740" w:type="dxa"/>
            <w:vAlign w:val="bottom"/>
            <w:gridSpan w:val="5"/>
          </w:tcPr>
          <w:p>
            <w:pPr>
              <w:jc w:val="right"/>
              <w:ind w:right="25"/>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80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80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960" w:type="dxa"/>
            <w:vAlign w:val="bottom"/>
            <w:gridSpan w:val="2"/>
          </w:tcPr>
          <w:p>
            <w:pPr>
              <w:jc w:val="right"/>
              <w:ind w:right="78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20"/>
                <w:szCs w:val="20"/>
                <w:color w:val="auto"/>
              </w:rPr>
            </w:pPr>
          </w:p>
        </w:tc>
        <w:tc>
          <w:tcPr>
            <w:tcW w:w="960" w:type="dxa"/>
            <w:vAlign w:val="bottom"/>
            <w:gridSpan w:val="2"/>
          </w:tcPr>
          <w:p>
            <w:pPr>
              <w:jc w:val="right"/>
              <w:ind w:right="78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ARCTURUS THERAPEUTICS LTD. AND ITS SUBSIDIARIES NOTES TO CONDENSED CONSOLIDATED FINANCIAL STATEMENTS (Unaudited)</w:t>
      </w:r>
    </w:p>
    <w:p>
      <w:pPr>
        <w:spacing w:after="0" w:line="176" w:lineRule="exact"/>
        <w:rPr>
          <w:sz w:val="20"/>
          <w:szCs w:val="20"/>
          <w:color w:val="auto"/>
        </w:rPr>
      </w:pPr>
    </w:p>
    <w:p>
      <w:pPr>
        <w:ind w:right="3560"/>
        <w:spacing w:after="0" w:line="378"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jc w:val="both"/>
        <w:ind w:right="160" w:firstLine="518"/>
        <w:spacing w:after="0" w:line="264" w:lineRule="auto"/>
        <w:rPr>
          <w:sz w:val="20"/>
          <w:szCs w:val="20"/>
          <w:color w:val="auto"/>
        </w:rPr>
      </w:pPr>
      <w:r>
        <w:rPr>
          <w:rFonts w:ascii="Arial" w:cs="Arial" w:eastAsia="Arial" w:hAnsi="Arial"/>
          <w:sz w:val="18"/>
          <w:szCs w:val="18"/>
          <w:color w:val="auto"/>
        </w:rPr>
        <w:t>Arcturus Therapeutics Ltd. and its subsidiaries (referred to as the “Company”) is a RNA medicines company focused on significant opportunities in rare, liver, and respiratory diseases. The Company’s key proprietary technology has the potential to address the major hurdles in RNA development, namely the effective and safe delivery of RNA therapeutics to disease-relevant target tissues.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Therapeutics Ltd.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2018.</w:t>
      </w:r>
    </w:p>
    <w:p>
      <w:pPr>
        <w:spacing w:after="0" w:line="7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These condensed consolidated financial statements are prepared in accordance with GAAP with United States Dollars (“USD”) as the functional currency, which requires management to make estimates and assumptions regarding the valuation of certain debt and equity instruments, the equity method investment, share-based compensation, accruals for liabilities, income taxes,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Unless the context otherwise requires, references to the “Company” and “Arcturus” refer to Arcturus Therapeutics Ltd. and its subsidiaries.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general and administration activities, and raising capital. The Company’s activities are subject to significant risks and uncertainties, including failing to secure additional funding before the Company achieves sustainable revenues and profit from operations.</w:t>
      </w:r>
    </w:p>
    <w:p>
      <w:pPr>
        <w:spacing w:after="0" w:line="73"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a pre-clinical bioscience company that is dependent on obtaining external equity and debt financings to fund its operations. Historically, the Company’s primary sources of financing have been through the sale of its securities, through issuance of debt and through collaboration agreements. The Company raised $10.0 million in gross proceeds from a long-term debt agreement entered into on October 12, 2018 with Western Alliance Bank (Note 5). In addition, on October 15, 2018, the Company entered into a Sales Agreement (the “Sales Agreement”) with Leerink Partners LLC (“Leerink”), pursuant to which it may sell from time to time, at its option, up to an aggregate of $30.0 million of the Company’s Ordinary Shares through Leerink, as sales agent. Research and development activities have required significant capital investment since the Company’s inception.</w:t>
      </w:r>
    </w:p>
    <w:p>
      <w:pPr>
        <w:spacing w:after="0" w:line="5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March 31, 2019 has an accumulated deficit of $52.6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the covenant requirements associated with its debt (Note 5), it will need to reduce discretionary spending,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to the Company. Management has prepared cash flow forecasts which indicate that based on the Company’s expected operating losses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negative cash flows, there is substantial doubt about the Company’s ability to continue as a going concern within twelve months after the date that the condensed consolidated financial statements for the quarter ended March 31, 2019 are issued. The accompanying condensed consolidated financial statements have been prepared assuming that the Company will continue as a going concern, which contemplates the realization of assets and the settlement of liabilities and commitments in the normal course of business. The condensed consolidated financial statements do not reflect any adjustments related to the recoverability and classification of assets or the amounts and classification of liabilities that might be necessary if the Company is unable to continue as a going concern.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Company has initiated a process to redomicile from an Israeli limited company to a Delaware corporation (the “Redomiciliation”). The Redomiciliation is subject to the approval of the Company’s shareholders via proxy vote, the Tel-Aviv District Court (the “Israeli Court”) approval and approval of the listing of the shares in the Delaware corporation by the NASDAQ Stock Market LLC (“Nasdaq”), among other conditions precedent. On February 11, 2019, the Company filed an application with the Israeli Court to approve the convening of a general shareholders meeting of the Company for the approval of the Redomiciliation pursuant to Sections 350 and 351 of the Israeli Companies Law (the “Companies Law”). Following the Israeli Court approval dated March 13, 2019, the Company filed with the SEC a registration statement on Form S-4 (the “Form S-4”), which included a joint proxy statement/prospectus for the convening of the general shareholder meeting, scheduled to be held on May 17, 2019, as described in the Form S-4. If the general shareholders meeting results in the approval of the Redomiciliation, the Company will then approach the Israeli Court and request its approval of the Redomiciliation.</w:t>
      </w:r>
    </w:p>
    <w:p>
      <w:pPr>
        <w:spacing w:after="0" w:line="8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connection with the Redomiciliation, the Company entered into a share exchange agreement (the “Exchange Agreement”) with a special-purpose company, Arcturus Therapeutics Holdings Inc. (“NewCo”).</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furtherance of the Redomiciliation, and pursuant to the terms of the Exchange Agreement,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an option to purchase one share of common stock of NewCo in exchange for each ordinary share of the Company underlying the existing option to be so exchanged, respectively.</w:t>
      </w:r>
    </w:p>
    <w:p>
      <w:pPr>
        <w:spacing w:after="0" w:line="6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Pursuant to the Exchange Agreement, and as disclosed in the Form S-4, the Company also has the right, exercisable in its sole discretion and subject to the conditions precedent set forth therein,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 The Company will determine if it will proceed with this second step prior to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Effective January 1, 2019, the Company adopted </w:t>
      </w:r>
      <w:r>
        <w:rPr>
          <w:rFonts w:ascii="Arial" w:cs="Arial" w:eastAsia="Arial" w:hAnsi="Arial"/>
          <w:sz w:val="18"/>
          <w:szCs w:val="18"/>
          <w:i w:val="1"/>
          <w:iCs w:val="1"/>
          <w:color w:val="auto"/>
        </w:rPr>
        <w:t>ASU 2014-09, Revenue from Contracts with Customers (Topic 606)</w:t>
      </w:r>
      <w:r>
        <w:rPr>
          <w:rFonts w:ascii="Arial" w:cs="Arial" w:eastAsia="Arial" w:hAnsi="Arial"/>
          <w:sz w:val="18"/>
          <w:szCs w:val="18"/>
          <w:color w:val="auto"/>
        </w:rPr>
        <w:t>, or 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85"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The terms of the Company’s collaborative research and development agreements include license fees, upfront payments, milestone payments when and if certain research or technology transfer milestones are achieved, development milestones and reimbursement for research and development activities, option exercise fees, other contingent payments for the achievement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80"/>
        <w:spacing w:after="0" w:line="270" w:lineRule="auto"/>
        <w:rPr>
          <w:sz w:val="20"/>
          <w:szCs w:val="20"/>
          <w:color w:val="auto"/>
        </w:rPr>
      </w:pPr>
      <w:r>
        <w:rPr>
          <w:rFonts w:ascii="Arial" w:cs="Arial" w:eastAsia="Arial" w:hAnsi="Arial"/>
          <w:sz w:val="17"/>
          <w:szCs w:val="17"/>
          <w:color w:val="auto"/>
        </w:rPr>
        <w:t>defined collaboration objectives and certain preclinical, clinical, regulatory and sales-based events, as well as royalties on sales of commercialized products. Arrangements that include up-front payments are recorded as deferred revenue upon receipt or when due and may require deferral of revenue recognition to a future period until the Company perform obligations under these arrangements. The Company records research funding as accounts receivable when the right to consideration is unconditional.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performance obligation is a promise in a contract to transfer a distinct good or service to the collaborative partner and is the unit of account in Topic</w:t>
      </w:r>
    </w:p>
    <w:p>
      <w:pPr>
        <w:spacing w:after="0" w:line="46" w:lineRule="exact"/>
        <w:rPr>
          <w:sz w:val="20"/>
          <w:szCs w:val="20"/>
          <w:color w:val="auto"/>
        </w:rPr>
      </w:pPr>
    </w:p>
    <w:p>
      <w:pPr>
        <w:ind w:right="20" w:firstLine="8"/>
        <w:spacing w:after="0" w:line="271"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contract’s transaction price is allocated to each distinct performance obligation based on relative standalone selling price and recognized as revenue when, or as, the performance obligation is satisfied. Under Topic 606, the Company elected to use the practical expedients permitted related to adoption, which does not require the Company to disclose certain information regarding certain remaining performance obligations as of the end of the reporting period. Topic 606 is applicable for revenue recognized in accordance with the practical expedient for measuring progress toward satisfaction of a performance obligation, and variable consideration classified as a sales-based or usage-based royalty promised in exchange for a license.</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“Collaboration Revenue”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February 2016, the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 of whether existing agreements contained a lease and the classification of existing operating leases. The Company continues to report its financial position as of December 31, 2018 under the former lease accounting standard (Topic 840) in the condensed consolidated balance sheet.</w:t>
      </w:r>
    </w:p>
    <w:p>
      <w:pPr>
        <w:spacing w:after="0" w:line="8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adoption impact was due to the recognition of an operating lease liability with a corresponding right-of-use asset based on the present value of remaining minimum lease payments. A reduction of the right-of-use asset was recorded to reflect the balance of the deferred rent obligation and there was no impact to retained earnings.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royalty bearing grants.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4"/>
                <w:szCs w:val="14"/>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March 31, 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31,220</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1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w:t>
            </w: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shown in the statement of cash flows</w:t>
            </w:r>
          </w:p>
        </w:tc>
        <w:tc>
          <w:tcPr>
            <w:tcW w:w="22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31,327</w:t>
            </w:r>
          </w:p>
        </w:tc>
        <w:tc>
          <w:tcPr>
            <w:tcW w:w="5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36,396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bottom w:val="single" w:sz="8" w:color="CFF0FC"/>
            </w:tcBorders>
            <w:vMerge w:val="restart"/>
          </w:tcPr>
          <w:p>
            <w:pPr>
              <w:jc w:val="right"/>
              <w:ind w:right="1330"/>
              <w:spacing w:after="0"/>
              <w:rPr>
                <w:sz w:val="20"/>
                <w:szCs w:val="20"/>
                <w:color w:val="auto"/>
              </w:rPr>
            </w:pPr>
            <w:r>
              <w:rPr>
                <w:rFonts w:ascii="Arial" w:cs="Arial" w:eastAsia="Arial" w:hAnsi="Arial"/>
                <w:sz w:val="18"/>
                <w:szCs w:val="18"/>
                <w:color w:val="auto"/>
              </w:rPr>
              <w:t>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are comprised of share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In May 2014, the Financial Accounting Standards Board (FASB) issued Topic 606, which supersedes nearly all existing revenue recognition guidance under GAAP. The FASB subsequently issued amendments to Topic 606 that have the same effective date and transition date.</w:t>
      </w:r>
    </w:p>
    <w:p>
      <w:pPr>
        <w:spacing w:after="0" w:line="38"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The Company adopted this new guidance, effective January 1, 2019, using the modified retrospective transition method, in which the standard is applied as of the date of initial adoption. The Company recorded the cumulative effect of initially applying the standard as an adjustment to the opening balance of accumulated deficit. The adoption of the new revenue recognition guidance resulted in an increase of $0.8 million to deferred revenue and an increase of $0.8 million to accumulated deficit as of January 1, 2019. The change in revenue was due to a change in how the Company accounts for changes in the measure of progress and changes to the transaction price and for the recognition of revenue. Under Topic 605, the Company accounted for changes to the measure of progress and changes to the transaction price prospectively. Topic 606 requires companies to account for a change to the measure of progress or a change to the transaction price as a cumulative catch-up in the period of change. There were no other impacts upon the adoption of Topic 606. The Company will apply the standard to all new contracts initiated on or after the effective date.</w:t>
      </w:r>
    </w:p>
    <w:p>
      <w:pPr>
        <w:spacing w:after="0" w:line="7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Under prior guidance, collaboration revenue recognized would have been $4.1 million for the three months ended March 31, 2019, which is $0.3 million lower than the amount recognized under current guidance.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in order to increase transparency and comparability among organizations by recognizing lease assets and lease liabilities on the balance sheet for those leases classified as operating leases under previous GAAP. ASU 2016-02 requires a lessee to recognize a liability for lease payments (the lease liability) and a right-of-use asset (representing its right to use the underlying asset for the lease term) on the balance sheet. ASU 2016-02 is effective for fiscal years beginning after December 15, 2018 (including interim periods within those periods) using a modified retrospective approach.</w:t>
      </w:r>
    </w:p>
    <w:p>
      <w:pPr>
        <w:spacing w:after="0" w:line="91"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 xml:space="preserve">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was modified, to not reassess (a) the existence of a lease, (b) lease classification or (c) determination of initial direct costs, which effectively allows entities to carryforward accounting conclusions under previous U.S. GAAP.</w:t>
      </w:r>
    </w:p>
    <w:p>
      <w:pPr>
        <w:spacing w:after="0" w:line="8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 adopted ASU 2016-02, using the optional transition method and electing the package of practical expedients described above on January 1, 2019. Due to the adoption, the Company recognized a new lease liability on the Company's consolidated balance sheet for its operating lease of office and lab space of $6.2 million on January 1, 2019, with a corresponding right-of-use asset of $5.7 million based on the present value of the remaining minimum rental payments. See Note 11 for further discussion.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when and if certain research or technology transfer milestones are achieved, development milestones,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The Company's costs of performing these services are included within research and development expense. The Company’s milestone payments are typically defined by achievement of certain preclinical, clinical, and commercial success criteria. Preclinical milestones may include in vivo proof of concept in disease animal model(s), lead candidate identification, and completion of IND-enabling studies. Clinical milestones may include successful enrollment of the first or second patient in or completion of Phase I, II, and III clinical trials, and commercial revenue is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61"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The following table presents changes during the three months ended March 31, 2019 in the balances of contract assets, including receivables from collaborative partners, and contract liabilities, including deferred revenue, as compared to what was disclosed in the Company’s Annual Report.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Contract Assets</w:t>
            </w:r>
          </w:p>
        </w:tc>
      </w:tr>
      <w:tr>
        <w:trPr>
          <w:trHeight w:val="223"/>
        </w:trPr>
        <w:tc>
          <w:tcPr>
            <w:tcW w:w="7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w:t>
            </w: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(3,634)</w:t>
            </w: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7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2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7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Additions for advanced billings</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19"/>
                <w:szCs w:val="19"/>
                <w:color w:val="auto"/>
              </w:rPr>
            </w:pPr>
          </w:p>
        </w:tc>
      </w:tr>
      <w:tr>
        <w:trPr>
          <w:trHeight w:val="215"/>
        </w:trPr>
        <w:tc>
          <w:tcPr>
            <w:tcW w:w="7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Additions for performance obligations to be satisfied in current and future periods in</w:t>
            </w: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connection with Topic 606 adoption</w:t>
            </w:r>
          </w:p>
        </w:tc>
        <w:tc>
          <w:tcPr>
            <w:tcW w:w="30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FF0FC"/>
          </w:tcPr>
          <w:p>
            <w:pPr>
              <w:spacing w:after="0"/>
              <w:rPr>
                <w:sz w:val="20"/>
                <w:szCs w:val="20"/>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Deductions for performance obligations satisfied in current period</w:t>
            </w:r>
          </w:p>
        </w:tc>
        <w:tc>
          <w:tcPr>
            <w:tcW w:w="30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(4,724)</w:t>
            </w:r>
          </w:p>
        </w:tc>
      </w:tr>
      <w:tr>
        <w:trPr>
          <w:trHeight w:val="223"/>
        </w:trPr>
        <w:tc>
          <w:tcPr>
            <w:tcW w:w="7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paragraphs provide information regarding the nature and purpose of the Company’s most significant collaboration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began reimbursing the Company for research costs during the first quarter of 2019 upon the completion of the first of three research periods.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2017 Agreement includes an exclusivity period.</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Accounting Analysis under ASC 606</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evaluating the 2017 Agreement in accordance with ASC Topic 606, the Company concluded that the contract counterparty, Janssen, is a customer. The Company identified the following performance obligations as of the inception of the Agreement: (i) research services, (ii) license to use Arcturus technology and (iii) participation in the Joint Research Committee. The Company concluded that the performance obligations are highly interrelated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 w:name="page12"/>
    <w:bookmarkEnd w:id="11"/>
    <w:p>
      <w:pPr>
        <w:ind w:firstLine="518"/>
        <w:spacing w:after="0" w:line="289" w:lineRule="auto"/>
        <w:rPr>
          <w:sz w:val="20"/>
          <w:szCs w:val="20"/>
          <w:color w:val="auto"/>
        </w:rPr>
      </w:pPr>
      <w:r>
        <w:rPr>
          <w:rFonts w:ascii="Arial" w:cs="Arial" w:eastAsia="Arial" w:hAnsi="Arial"/>
          <w:sz w:val="16"/>
          <w:szCs w:val="16"/>
          <w:color w:val="auto"/>
        </w:rPr>
        <w:t>At inception of the contract, the transaction price included the $7.7 million upfront consideration received and budgeted reimbursable out-of-pocket costs of $18.2 million.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performance obligations, as such sales were determined to relate predominantly to the license granted to Janssen and therefore have also been excluded from the transaction price. As of March 31, 2019, the remaining transaction price of $24.2 million is expected to be recognized over the remaining research period of 12 months. The Company will re-evaluate the transaction price in each reporting period as uncertain events are resolved and other changes in circumstances occur. For the three months ended March 31, 2019, no adjustments were made to the transaction price.</w:t>
      </w:r>
    </w:p>
    <w:p>
      <w:pPr>
        <w:spacing w:after="0" w:line="5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As the Company determined that only a single performance obligation exists, no allocation of the transaction price is necessary. The transaction price is recorded as deferred revenue in the Company’s balance sheet and is recognized as revenue under the proportional performance method of revenue recognition in accordance with the Company’s established budget of costs to be incurred. Total deferred revenue as of March 31, 2019 and December 31, 2018 for Janssen was $6.3 million and $6.5 million, respectively. The Company recognized revenue of $0.5 million and $0.1 million for the three months ended March 31, 2019 and 2018, respectively. No transition adjustment was necessary upon adoption of Topic 606.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In October 2015 the Company entered into a research collaboration and license agreement with Ultragenyx (the “Ultragenyx Agreement”), whereby Arcturus grants to Ultragenyx a co-exclusive license under Arcturus technology and shall be in effect only during the reserve target exclusivity term as discuss in the following paragraphs. During the initial phase of the collaboration, the Company will design and optimize therapeutics for certain rare disease targets. Ultragenyx has the option under the Ultragenyx Agreement to add additional rare disease targets during the collaborative development</w:t>
      </w:r>
    </w:p>
    <w:p>
      <w:pPr>
        <w:spacing w:after="0" w:line="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period. Additionally, during the collaborative development period, the Company will participate with Ultragenyx in a joint steering committee. The Ultragenyx Agreement also includes an initial exclusivity period with an option to extend this period.</w:t>
      </w:r>
    </w:p>
    <w:p>
      <w:pPr>
        <w:spacing w:after="0" w:line="76"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For each program, Ultragenyx will reimburse the Company for all internal and external development costs incurred, pursuant to the Ultragenyx Agreement, and if Ultragenyx achieves certain, clinical, regulatory and sales milestones, then the Company is eligible to receive royalty payments.</w:t>
      </w:r>
    </w:p>
    <w:p>
      <w:pPr>
        <w:spacing w:after="0" w:line="1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part of the Ultragenyx Agreement, Ultragenyx paid an upfront fee of $10.0 million and agreed to certain research and development funding obligations. The Company is also entitled to certain additional payments upon exercise of the Ultragenyx expansion option or exclusivity extension (if any), and for costs incurred by the Company in conducting the activities assigned under each collaboration development plan. In addition, on a development target-by-development target basis during the two-year period from the effective date of contract, Ultragenyx will pay the Company a one-time milestone payment after the first optimized lead designation for the first product with respect of such development target. For each development target for which Ultragenyx exercises its option, Ultragenyx will pay the Company a one-time option exercise fee that increases based upon the number of development targets selected by Ultragenyx.</w:t>
      </w:r>
    </w:p>
    <w:p>
      <w:pPr>
        <w:spacing w:after="0" w:line="8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The agreement includes potential milestone payments for selected targets from Ultragenyx to the Company. The current potential milestone payment for the remaining targets as of March 31, 2019 is $139.0 million. Ultragenyx will pay royalties as a single-digit percentage of net sales on a product-by-product and country-by-country basis during the applicable royalty term. As of March 31, 2019, the Company has not yet reached the clinical phase of the contract. In 2018, the Company signed an amendment with Ultragenyx, that may reduce option exercise fees, milestone payments and/or royalty rates dependent on whether a development target or product is not covered by a patent directed to a chemistry methodology to increase mRNA half-life.</w:t>
      </w:r>
    </w:p>
    <w:p>
      <w:pPr>
        <w:spacing w:after="0" w:line="5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During 2017, the Company entered into an amendment with Ultragenyx to add one year to the exclusivity period for the reserved targets, in consideration for a one-time payment of $2.0 million. The extension of the exclusivity period did not change the length of the research and development period. Further, the amendment allows Ultragenyx the opportunity to review and comment on its filings and prosecution efforts of pending Company patents that relate to Ultragenyx chemistry. During the fourth quarter of 2018, Ultragenyx extended the exclusivity on a specified number of reserved targets for an additional year with an annual reserve target list maintenance fee of $1.5 million.</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 under ASC 606</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evaluating the Ultragenyx agreement in accordance with ASC Topic 606, the Company concluded that the contract counterparty, Ultragenyx, is a customer. The Company identified the following performance obligations as of the inception of the Agreement: (i) research services, (ii) license to use Arcturus technology, (iii) exclusivity and (iv) participation in the Joint Steering Committee. The Company concluded that the performance obligations are highly interrelated and consequently do not have any value on a standalone basis. Accordingly, they are determined to represent a single performance obligation. The Company concluded that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color w:val="auto"/>
        </w:rPr>
        <w:t>Ultragenyx’s options to extend exclusivity and options to select additional collaboration targets and to license rights to selected targets are not priced at a discount and therefore do not represent performance obligations for which the transaction price would be allocated.</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At inception of the contract, the transaction price included only the upfront consideration received. The Company concluded that the reimbursement of labor and expenses qualifies for the practical expedient under Topic 606, which allows the Company to recognize revenue in the amount for which it has a right to invoice if the Company’s right to consideration is an amount that corresponds directly to the value to the customer of the performance completed to date. Therefore under the practical expedient the Company is not required to determine the transaction price, allocate the transaction price and determine the timing of revenue recognition for the reimbursement of labor and expenses.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Food and Drug Administration (“FDA”) and the collaborator’s efforts. Any consideration related to sales-based royalties will be recognized when the related sales occur, provided that the reported sales are reliably measurable and the Company has no remaining performance obligations, as such sales were determined to relate predominantly to the license granted to Ultragenyx and therefore have also been excluded from the transaction price. The Company will re-evaluate the transaction price in each reporting period as uncertain events are resolved and other changes in circumstances occur. For the three months ended March 31, 2019, no adjustments were made to the transaction price.</w:t>
      </w:r>
    </w:p>
    <w:p>
      <w:pPr>
        <w:spacing w:after="0" w:line="72"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As the Company determined that only a single performance obligation exists, no allocation of the transaction price is necessary. The upfront payment was recorded as deferred revenue in the Company’s balance sheet upon receipt and is currently being recognized as revenue on a straight-line basis over the estimated 47-month research period, which approximates the timing in which performance obligations are satisfied. As of March 31, 2019, the research period is expected to end by September 30, 2019. Upon execution of the 2017 amendment, the $2.0 million payment was added to the transaction price and through the transition to Topic 606 a cumulative catch-up entry was made. The exclusivity extension fee received by the Company during the fourth quarter of 2018 was recorded as deferred revenue and is being recognized as revenue on a straight-line basis over the one-year period that the exclusivity is provided. Total deferred revenue as of March 31, 2019 and December 31, 2018 for Ultragenyx was $2.4 million and $2.7 million, respectively. The Company recognized revenue of $1.4 million and $1.5 million for the three months ended March 31, 2019 and 2018, respectively. Upon adoption of Topic 606, the Company reversed $0.8 million of previously recorded revenue related to Ultragenyx through an increase to deferred revenue and a decrease to beginning retained earnings. The adjustment was due to a change in the way the Company accounts for updates to the research period over which revenue is recognized as well as accounting for adjustments to the transaction price for exclusivity extensions, such as the $2.0 million amendment. Under Topic 605, the Company accounted for these changes prospectively and under Topic 606 the Company accounts for the changes as a change in estimate recorded as a cumulative catch-up in the period in which the change occurred.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January 2018, the Company entered into a Development and Option Agreement with CureVac, (the “Development and Option Agreement”). Under the terms of the Development and Option Agreement, the parties have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technology (the LUNAR® platform)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64"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Prior to expiration of the initial term of 8 years, the Agreement also includes an option to extend the term on an annual basis for up to 3 years and subject to payment by CureVac to Arcturus of a non-refundable annual extension fee. The agreement included potential milestone payments for selected targets from CureVac to the Company. The current potential milestone payment for the remaining target as of March 31, 2019 is $14.0 million for rare disease targets and $23.0 million for non-rare disease targets. CureVac will pay royalties as a percentage of net sales on a product-by-product and country-by-country basis during the applicable royalty term in the low single-digit range. As of March 31, 2019, the Company has not yet reached the clinical phase of the contract. Pursuant to a May 2018 amendment to the Development and Option Agreement (as amended and restated on September 28, 2018), the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increased the number of targets available to CureVac under the Development and Option Agreement and agreed upon the license forms to be executed upon selection of the targets by CureVac.</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Concurrently with the Development and Option Agreement, the Company entered into a Co-Development and Co-Commercialization Agreement (the “Co-Development Agreement”). However, on February 11, 2019, the Company announced the termination of the obligations of CureVac for the preclinical development of ARCT-810, effective 180 days from February 5, 2019 and the re-assumption by the Company of the worldwide rights thereto. CureVac believes it is not obligated to continue funding any preclinical expenses for the OTC (which is defined in the following paragraph) program after February 5, 2019 and through the August 5, 2019 termination date as stated in the Co-Development Agreement. The Company does not believe that CureVac’s position is consistent with the terms of the Co-Development Agreement and is engaged with CureVac to determine a resolution. The Company is seeking a resolution in the manner set forth in the Co-Development Agreement.</w:t>
      </w:r>
    </w:p>
    <w:p>
      <w:pPr>
        <w:spacing w:after="0" w:line="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Arcturus will reassume 100% global rights for its flagship asset, clinical development candidate ARCT-810, a messenger RNA (mRNA) drug to treat ornithine transcarbamylase (“OTC”) deficiency. ARCT-810 was previously subject to equal cost sharing between Arcturus and CureVac under the Co-Development Agreement. CureVac elected not to continue its obligations for the preclinical development of ARCT-810 under and pursuant to the terms of the agreement. Under the terms of the Co-Development Agreement, the parties collaborated to develop and commercialize mRNA-based products for treating OTC deficiency, incorporating CureVac’s mRNA technology, the Arcturus’ mRNA technology and the Arcturus Delivery Technology. The overall collaboration with CureVac was managed by a joint steering committee. Pursuant to the Co-Development Agreement, the Company and CureVac shared equally the internal costs and third-party costs incurred to conduct preclinical development, subject to exceptions specified in the Co-Development Agreement for specified manufacturing costs and costs in the parties’ respective development plans, among others. The parties also continue to have the option to co-develop two mRNA programs for CureVac and one mRNA program for the Company.</w:t>
      </w:r>
    </w:p>
    <w:p>
      <w:pPr>
        <w:spacing w:after="0" w:line="7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concluded that the contracts should be accounted for on a combined basis due to their being negotiated and signed concurrently as well as the interoperability between the two agreements.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 under ASC 606</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evaluating the CureVac Development and Option Agreement and Co-Development Agreement in accordance with ASC Topic 606, the Company concluded that the contract counterparty, CureVac, is a customer. The Company identified the following performance obligations as of the inception of the Agreement: (i) research services, (ii) license to use Arcturus technology, (iii) exclusivity and (iv) participation in the Joint Steering Committee. The Company concluded that the performance obligations are highly interrelated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At inception of the contract, the transaction price included only the $5.0 million upfront consideration received. The Company concluded that the reimbursement of labor and expenses within the Development and Option Agreement qualifies for the practical expedient under Topic 606 which allows the Company to recognize revenue in the amount for which it has a right to invoice if the Company’s right to consideration is an amount that corresponds directly to the value to the customer of the performance completed to date. Therefore under the practical expedient the Company is not required to determine the transaction price, allocate the transaction price and determine the timing of revenue recognition for the reimbursement of labor and expenses.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performance obligations, as such sales were determined to relate predominantly to the license granted to CureVac and therefore have also been excluded from the transaction price. As it relates to the Co-Development Agreement, the incremental costs incurred by Arcturus can only be determined based on reported costs provided by CureVac which is outside the control of the Company, and therefore, fully constrained and recognized as incurred. The Company will re-evaluate the transaction price in each reporting period as uncertain events are resolved and other changes in circumstances occur. For the three months ended March 31, 2019, no adjustments were made to the transaction price.</w:t>
      </w:r>
    </w:p>
    <w:p>
      <w:pPr>
        <w:spacing w:after="0" w:line="7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the Company determined that only a single performance obligation exists, no allocation of the transaction price is necessary. The upfront payment of $5 million was recorded as deferred revenue in the Company’s balance sheet upon receipt and is currently being recognized as revenue on a straight-line basis over the eight-year contractual term. Total deferred revenue as of March 31, 2019 and December 31, 2018 for CureVac was $4.2 million and $4.4 million, respectively. The Company recognized revenue of $1.9 million and $0.2 million for the three months ended March 31, 2019 and 2018, respectively. No adjustment was necessary upon adoption of Topic 606.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jc w:val="both"/>
        <w:ind w:right="120" w:firstLine="518"/>
        <w:spacing w:after="0" w:line="271"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9"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As of March 31, 2019 and December 31, 2018, all assets measured at fair value on a recurring basis consisted of cash equivalents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as of March 31, 2019 and December 31, 2018:</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64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807</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64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3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$172,000 and $111,000 for the three months ended March 31, 2019 and 2018, respectively.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March 31, 2019 and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spacing w:after="0"/>
              <w:rPr>
                <w:sz w:val="14"/>
                <w:szCs w:val="14"/>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9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Refundable fees received</w:t>
            </w:r>
          </w:p>
        </w:tc>
        <w:tc>
          <w:tcPr>
            <w:tcW w:w="1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liability</w:t>
            </w:r>
          </w:p>
        </w:tc>
        <w:tc>
          <w:tcPr>
            <w:tcW w:w="1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19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80" w:type="dxa"/>
            <w:vAlign w:val="bottom"/>
            <w:vMerge w:val="restart"/>
          </w:tcPr>
          <w:p>
            <w:pPr>
              <w:jc w:val="right"/>
              <w:ind w:right="129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jc w:val="both"/>
        <w:ind w:right="240" w:firstLine="518"/>
        <w:spacing w:after="0" w:line="279" w:lineRule="auto"/>
        <w:rPr>
          <w:sz w:val="20"/>
          <w:szCs w:val="20"/>
          <w:color w:val="auto"/>
        </w:rPr>
      </w:pPr>
      <w:r>
        <w:rPr>
          <w:rFonts w:ascii="Arial" w:cs="Arial" w:eastAsia="Arial" w:hAnsi="Arial"/>
          <w:sz w:val="17"/>
          <w:szCs w:val="17"/>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w:t>
      </w:r>
    </w:p>
    <w:p>
      <w:pPr>
        <w:spacing w:after="0" w:line="63"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79"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the Western Alliance Bank.</w:t>
      </w:r>
    </w:p>
    <w:p>
      <w:pPr>
        <w:spacing w:after="0" w:line="4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Loan also includes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w:t>
      </w:r>
    </w:p>
    <w:p>
      <w:pPr>
        <w:spacing w:after="0" w:line="8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As of March 31, 2019, the Company is in compliance with all covenants and conditions of the Loan.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Shareholders’ Equity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Ordinary Shares</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Ordinary Shares. In 2017, the Ordinary Shares purchase agreements were amended to clarify vesting conditions and also to accelerate the vesting of 146,510 Ordinary Shares resulting in a modification expense of $1,495,000. As of March 31, 2019 and 2018, there were 622,667 Ordinary Shares unvested and subject to the repurchase option.</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quarters ended March 31, 2019 and 2018 as they were anti-dilutive totaled 67,051 and 110,883, respectively.</w:t>
      </w:r>
    </w:p>
    <w:p>
      <w:pPr>
        <w:spacing w:after="0" w:line="6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For the quarters ended March 31, 2019 and 2018, the calculation of the weighted-average number of shares outstanding excludes both unvested restricted Ordinary Shares of 622,667 and shares held in treasury of 43,000.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are 38,751 shares available for future issuance under the 2013 Plan at March 31, 2019. As discussed in the next paragraph, the 2013 Plan was assumed by the 2010 Plan and no additional shares will be issued under the 2013 Plan.</w:t>
      </w:r>
    </w:p>
    <w:p>
      <w:pPr>
        <w:spacing w:after="0" w:line="59"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Prior to the merger, Alcobra Ltd. granted options to officers, directors, advisors, management and other key employees through the 2010 Incentive Option Plan (the “2010 Plan”). Substantially all options that were 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in conjunction with the merger. Options granted under the 2010 Plan generally expire ten years from the date of grant. Upon merger, the 2013 Plan was assumed by the 2010 Plan. The Company generally issues new shares upon option exercise. There were 111,251 shares available for future issuance under the 2010 Plan as of March 31, 2019; however, the Company does not intend to issue additional shares under the 2010 Plan.</w:t>
      </w:r>
    </w:p>
    <w:p>
      <w:pPr>
        <w:spacing w:after="0" w:line="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As of February 2019, the Company issued a certain number of options to purchase Ordinary shares to a group of employees as well as options to purchase a total of 403,750 Ordinary Shares to its executives which includes 160,000 Ordinary Shares to the Chief Executive Officer and Chief Financial Officer and are subject to shareholder approval. The Company also issued options to purchase a total of 130,000 Ordinary Shares to the non-executive members of the Company’s board of directors. As of March 31, 2019, there were 255,250 shares available for future issuance under the 2018 Plan.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share options granted:</w:t>
      </w:r>
    </w:p>
    <w:p>
      <w:pPr>
        <w:spacing w:after="0" w:line="17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For the Three Months</w:t>
      </w:r>
    </w:p>
    <w:p>
      <w:pPr>
        <w:jc w:val="center"/>
        <w:ind w:left="678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492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2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2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Grant date weighted average fair value</w:t>
            </w:r>
          </w:p>
        </w:tc>
        <w:tc>
          <w:tcPr>
            <w:tcW w:w="304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share option activity for the three months ended March 31,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1,189,433</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76,000</w:t>
            </w: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Forfeited/cancelled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March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1,226,933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Exercisable - March 31, 2019</w:t>
            </w: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Exercisable and expected to vest - March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1,226,933</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right="340" w:hanging="512"/>
        <w:spacing w:after="0" w:line="253"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options granted during the first quarter of 2019 exclude 160,000 options granted to the Chief Executive Officer and Chief Financial Officer which remain subject to shareholder approval.</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17" w:name="page18"/>
    <w:bookmarkEnd w:id="17"/>
    <w:p>
      <w:pPr>
        <w:ind w:right="160" w:firstLine="518"/>
        <w:spacing w:after="0" w:line="308" w:lineRule="auto"/>
        <w:rPr>
          <w:sz w:val="20"/>
          <w:szCs w:val="20"/>
          <w:color w:val="auto"/>
        </w:rPr>
      </w:pPr>
      <w:r>
        <w:rPr>
          <w:rFonts w:ascii="Arial" w:cs="Arial" w:eastAsia="Arial" w:hAnsi="Arial"/>
          <w:sz w:val="17"/>
          <w:szCs w:val="17"/>
          <w:color w:val="auto"/>
        </w:rPr>
        <w:t>At March 31, 2019, the total unrecognized compensation cost of $4.6 million will be recognized over the weighted-average remaining service period of approximately 3.1 years. The fair value of the options vested during the three months ended March 31, 2019 was $0.3 million.</w:t>
      </w:r>
    </w:p>
    <w:p>
      <w:pPr>
        <w:spacing w:after="0" w:line="3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Share-based compensation expenses included in the Company’s condensed statements of operations and comprehensive loss for the three months ended March 31, 2019 and 2018 were: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tcBorders>
              <w:bottom w:val="single" w:sz="8" w:color="CFF0FC"/>
            </w:tcBorders>
            <w:vMerge w:val="continue"/>
          </w:tcPr>
          <w:p>
            <w:pPr>
              <w:spacing w:after="0"/>
              <w:rPr>
                <w:sz w:val="13"/>
                <w:szCs w:val="13"/>
                <w:color w:val="auto"/>
              </w:rPr>
            </w:pPr>
          </w:p>
        </w:tc>
        <w:tc>
          <w:tcPr>
            <w:tcW w:w="2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Share-based compensation expense for the three months ended March 31, 2019 excludes expense related to options granted to the Chief Executive Officer and Chief Financial Officer as option grants are subject to shareholder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of six years.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five-year period at then current market rate with annual escalations; however, the Company deemed the extension option not reasonably certain to be exercised and therefore excluded the option from the lease terms. The Company entered into an irrevocable standby letter of credit with the landlord for security of $96,000 upon executing the lease which is included (along with additional funds required to secure the letter of credit) in the balance of non-current restricted cash.</w:t>
      </w:r>
    </w:p>
    <w:p>
      <w:pPr>
        <w:spacing w:after="0" w:line="5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the payments of the operating lease liability were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Remaining Lease</w:t>
            </w:r>
          </w:p>
        </w:tc>
        <w:tc>
          <w:tcPr>
            <w:tcW w:w="0" w:type="dxa"/>
            <w:vAlign w:val="bottom"/>
          </w:tcPr>
          <w:p>
            <w:pPr>
              <w:spacing w:after="0"/>
              <w:rPr>
                <w:sz w:val="1"/>
                <w:szCs w:val="1"/>
                <w:color w:val="auto"/>
              </w:rPr>
            </w:pPr>
          </w:p>
        </w:tc>
      </w:tr>
      <w:tr>
        <w:trPr>
          <w:trHeight w:val="171"/>
        </w:trPr>
        <w:tc>
          <w:tcPr>
            <w:tcW w:w="568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2020</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2022</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remaining lease payments</w:t>
            </w: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lease liability</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Less: current portion of operating lease liability</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terms. Operating lease costs were $0.3 million for the three months ended March 31,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Providence</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March 2016, the Company entered into a Research Collaboration and License Agreement with a related party, Providence,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quarters ended March 31, 2019 and 2018, the Company has recognized revenue of $0.3 million and a negligible amount, respectively.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In June 2018, the Company completed the sale of its intangible asset related to the ADAIR technology.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equity-method investment. The Company has no requirement to invest further in this private company and the ownership percentage may be diluted in the future. The Company has recorded $0.6 million of its share of losses of the investee leaving no equity investment balance as of March 31,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 w:firstLine="518"/>
        <w:spacing w:after="0" w:line="218" w:lineRule="exact"/>
        <w:rPr>
          <w:sz w:val="20"/>
          <w:szCs w:val="20"/>
          <w:color w:val="auto"/>
        </w:rPr>
      </w:pPr>
      <w:r>
        <w:rPr>
          <w:rFonts w:ascii="Arial" w:cs="Arial" w:eastAsia="Arial" w:hAnsi="Arial"/>
          <w:sz w:val="17"/>
          <w:szCs w:val="17"/>
          <w:i w:val="1"/>
          <w:iCs w:val="1"/>
          <w:color w:val="auto"/>
        </w:rPr>
        <w:t>The following is a discussion of the financial condition and results of operations of Arcturus Therapeutics Ltd. for the three-month period ended March 31, 2019. Unless otherwise specified herein, references to the “Company,” “we,” “us” or “our” shall include Arcturus Therapeutics Ltd. and its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2018 (the “2018 Annual Report”), which was filed with the U.S. Securities and Exchange Commission (the “Commission”) on March 18, 2019 and amended on April 10, 2019. Unless otherwise defined herein, capitalized words and expressions used herein shall have the same meanings ascribed to them in the 2018 Annual Report.</w:t>
      </w:r>
    </w:p>
    <w:p>
      <w:pPr>
        <w:spacing w:after="0" w:line="11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Arcturus is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80"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March 31, 2019, we had an accumulated deficit of $52.6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Management’s Plans</w:t>
      </w:r>
    </w:p>
    <w:p>
      <w:pPr>
        <w:spacing w:after="0" w:line="121"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Our products that are being developed have not generated significant revenue. As a result, we have suffered recurring losses and requires significant cash resources to execute our business plans. These losses are expected to continue for an extended period of time. Based on our planned operations, we do not expect that our current cash and cash equivalents balances will be sufficient to fund our operations for at least 12 months after the date the condensed consolidated financial statements are filed without raising additional capital through equity or debt financing. These conditions raise substantial doubt about our ability to continue as a going concern for a period of one year from the date of the issuance of our first quarter 2019 condensed consolidated financial statements.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74"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Ordinary Shares, option and warrant exercises, and interest income. From inception through March 2019, we raised approximately $136.6 million in gross proceeds from various public and private offerings of our Ordinary Shares, debt issuances, collaboration agreements, and the merger with Alcobra.</w:t>
      </w:r>
    </w:p>
    <w:p>
      <w:pPr>
        <w:spacing w:after="0" w:line="39"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As of March 31, 2019, we had approximately $31.3 million in cash, restricted cash and cash equivalents. Our plans to mitigate an expected shortfall of capital, to support future operations, include raising additional funds. The actual amount of cash that it will need to operate is subject to many factors.</w:t>
      </w:r>
    </w:p>
    <w:p>
      <w:pPr>
        <w:spacing w:after="0" w:line="16"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We also recognize that we will need to raise additional capital in order to continue to execute our business plan in the future. There is no assurance that additional financing will be available when needed, that we will be able to obtain financing on terms acceptable to us, or that we will become profitable and generate positive operating cash flow. If we are unable to raise sufficient additional funds, we will have to scale back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518"/>
        <w:spacing w:after="0" w:line="293"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At March 31, 2019, we had $31.2 million in unrestricted cash and cash equivalents.</w:t>
      </w:r>
    </w:p>
    <w:p>
      <w:pPr>
        <w:spacing w:after="0" w:line="4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support our long-term plans, we intend to seek additional capital through equity 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we will be able to obtain the needed financing on acceptable terms or at all. Additionally, equity or debt financings may have a dilutive effect on the holdings of our existing shareholders. Our future capital requirements are difficult to forecast and will depend on many factors, including:</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2019 and 2018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73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(5,411)</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8"/>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losses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86"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Net cash used in operating activities was $5.4 million on a net loss of $6.9 million for the three months ended March 31, 2019, compared to net cash used of $0.4 million on a net loss of $6.6 million for the three months ended March 31, 2018. Adjustments for non-cash charges, including share-based compensation and depreciation and amortization were $0.9 million and $0.1 million for the three months ended March 31, 2019 and 2018, respectively. Changes in working capital resulted in adjustments to operating net cash inflows of $0.6 million and $6.1 million for the three months ended March 31, 2019 and 2018, respectively, and were primarily driven by increases to accounts payable and deferred revenue.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Net cash used in investing activities of $0.1 million for the three months ended March 31, 2019 reflected cash used to purchase property and equipment. Net cash provided by investing activities of $11.2 million for the three months ended March 31, 2018 reflected proceeds of the maturities of our short-term investments of $19.3 million, offset by purchases of short-term investments of $7.7 million, and cash used to purchase property and equipment of $0.4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No cash was provided by or used in financing activities for the three months ended March 31, 2019. Net cash provided by financing activities for the three months ended March 31, 2018 consisted of net proceeds from the exercise of share options of $0.3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2018. Our historical results of operations and the year-to-year comparisons of our results of operations that follow are not necessarily indicative of future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2018 to 2019</w:t>
            </w: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4,350</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2,367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right="180" w:firstLine="518"/>
        <w:spacing w:after="0" w:line="279" w:lineRule="auto"/>
        <w:rPr>
          <w:sz w:val="20"/>
          <w:szCs w:val="20"/>
          <w:color w:val="auto"/>
        </w:rPr>
      </w:pPr>
      <w:r>
        <w:rPr>
          <w:rFonts w:ascii="Arial" w:cs="Arial" w:eastAsia="Arial" w:hAnsi="Arial"/>
          <w:sz w:val="17"/>
          <w:szCs w:val="17"/>
          <w:color w:val="auto"/>
        </w:rPr>
        <w:t>Collaboration revenue increased by $2.0 million during the three months ended March 31, 2019 as compared to the three months ended March 31, 2018. The increase in collaboration revenue primarily relates to increased revenue of $2.4 million for programs which commenced in late 2017 and early 2018 and have shown an increase in labor and out-of-pocket costs. This increase was partly offset by $0.4 million related to the termination of one program during the fourth quarter of 2018 and less revenue recognition for research and development funding.</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b w:val="1"/>
                <w:bCs w:val="1"/>
                <w:color w:val="auto"/>
                <w:w w:val="93"/>
              </w:rPr>
              <w:t>2018 to 2019</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9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7,324</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3,941</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(1,564)</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w:t>
      </w:r>
    </w:p>
    <w:p>
      <w:pPr>
        <w:spacing w:after="0" w:line="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increase of $3.4 million in research and development expenses for the three months ended March 31, 2019 as compared to the three months ended March 31, 2018 resulted primarily from an increase of $0.8 million in personnel related expenses, $2.4 million in preclinical production costs related to drug development and $0.2 million in general facility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decrease in general and administrative expenses of $1.6 million for the three months ended March 31, 2019 as compared to the three months ended March 31, 2018 was primarily due to a decrease of $2.4 million from the proxy event during fiscal year 2018, offset by the addition of accounting and legal fees of $0.5 million related to redomiciliation and an increase in $0.3 million of personnel and facility related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b w:val="1"/>
                <w:bCs w:val="1"/>
                <w:color w:val="auto"/>
                <w:w w:val="93"/>
              </w:rPr>
              <w:t>2018 to 2019</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98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w w:val="94"/>
              </w:rPr>
              <w:t>% 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(expense) income, net:</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11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Interest income is generated on cash and cash equivalents. Interest expense was incurred in conjunction with our long-term debt agreement which was executed during the fourth quarter of 2018.</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prepare our condensed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 In the following paragraphs, we describe the specific risks associated with these critical accounting policies and we caution that future events exactly as one may expect, and that best estimates may require adjustment.</w:t>
      </w:r>
    </w:p>
    <w:p>
      <w:pPr>
        <w:spacing w:after="0" w:line="70" w:lineRule="exact"/>
        <w:rPr>
          <w:sz w:val="20"/>
          <w:szCs w:val="20"/>
          <w:color w:val="auto"/>
        </w:rPr>
      </w:pPr>
    </w:p>
    <w:p>
      <w:pPr>
        <w:ind w:right="180" w:firstLine="518"/>
        <w:spacing w:after="0" w:line="309"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Effective January 1, 2019, the Company adopted </w:t>
      </w:r>
      <w:r>
        <w:rPr>
          <w:rFonts w:ascii="Arial" w:cs="Arial" w:eastAsia="Arial" w:hAnsi="Arial"/>
          <w:sz w:val="18"/>
          <w:szCs w:val="18"/>
          <w:i w:val="1"/>
          <w:iCs w:val="1"/>
          <w:color w:val="auto"/>
        </w:rPr>
        <w:t>ASU 2014-09, Revenue from Contracts with Customers (Topic 606)</w:t>
      </w:r>
      <w:r>
        <w:rPr>
          <w:rFonts w:ascii="Arial" w:cs="Arial" w:eastAsia="Arial" w:hAnsi="Arial"/>
          <w:sz w:val="18"/>
          <w:szCs w:val="18"/>
          <w:color w:val="auto"/>
        </w:rPr>
        <w:t>, or Topic 606, using the modified retrospective transition method. Topic 606 provides a unified model to determine how revenue is recognized. We determine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80"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The terms of our collaborative research and development agreements include license fees, upfront payments, milestone payments when and if certain research or technology transfer milestones are achieved, development milestones and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Arrangements that include up-front payments are recorded as deferred revenue upon receipt or when due and may require deferral of revenue recognition to a future period until we perform obligations under these arrangements. We record research funding as accounts receivable when the right to consideration is unconditional. The event-based milestone payments represent variable consideration, and we use the most likely amount method to estimate this variable consideration because we will either receive the milestone payment or we will not, which makes the potential milestone payment a binary event. The most likely amount method requires us to determine the likelihood of earning the milestone payment. Given the high degree of uncertainty around achievement of these milestones, we determine the milestone amounts to be fully constrained and do not recognize revenue until the uncertainty associated with these payments is resolved. We will recognize revenue from sales-based royalty payments when or as the sales occur. We will re-evaluate the transaction price in each reporting period as uncertain events are resolved and other changes in circumstances occur.</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performance obligation is a promise in a contract to transfer a distinct good or service to the collaborative partner and is the unit of account in Topic</w:t>
      </w:r>
    </w:p>
    <w:p>
      <w:pPr>
        <w:spacing w:after="0" w:line="46" w:lineRule="exact"/>
        <w:rPr>
          <w:sz w:val="20"/>
          <w:szCs w:val="20"/>
          <w:color w:val="auto"/>
        </w:rPr>
      </w:pPr>
    </w:p>
    <w:p>
      <w:pPr>
        <w:ind w:right="60" w:firstLine="8"/>
        <w:spacing w:after="0" w:line="271"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contract’s transaction price is allocated to each distinct performance obligation based on relative standalone selling price and recognized as revenue when, or as, the performance obligation is satisfied. Under Topic 606, we elected to use the practical expedients permitted related to adoption, which does not require us to disclose certain information regarding certain remaining performance obligations as of the end of the reporting period. Topic 606 is applicable for revenue recognized in accordance with the practical expedient for measuring progress toward satisfaction of a performance obligation, and variable consideration classified as a sales-based or usage-based royalty promised in exchange for a license.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February 2016, the FASB issued ASU 2016-02, Leases (Topic 842), which requires lessees to recognize most leases on the balance sheet as lease liabilities with corresponding right-of-use assets and to disclose key information about leasing arrangements. We adopted Topic 842 on its effective date in the first quarter of 2019 using a modified retrospective approach. We elected the available package of practical expedients upon adoption, which allowed us to carry forward our historical assessment of whether existing agreements contained a lease and the classification of our existing operating leases. We continue to report our financial position as of December 31, 2018 under the former lease accounting standard (Topic 840) in our condensed consolidated balance sheet.</w:t>
      </w:r>
    </w:p>
    <w:p>
      <w:pPr>
        <w:spacing w:after="0" w:line="5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adoption impact was due to the recognition of operating lease liabilities with corresponding right-of-use assets based on the present value of remaining minimum lease payments. The difference between these amounts was recorded as a reduction of the right-of-use asset by the existing balance of deferred rent obligation with no impact to retained earnings.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United States interest rates. Due to the nature of our cash and cash equivalents, we believe that we are not subject to any material market risk exposure. We do not have any foreign currency or other derivative financial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2019, the Company’s disclosure controls and procedures were effective at the reasonable assurance level and we believe the condensed consolidated financial statements included in this Form 10-Q for the three months ended March 31, 2019 present, in all material respects, our financial position, results of operations, comprehensive loss and cash flows for the periods presented in conformity with U.S. generally accepted accounting principles.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other changes in our internal controls over financial reporting during the period covered by this Quarterly Report on Form 10-Q that materially affected, or were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business is subject to various risks, including those described in Item 1A of our Annual Report on Form 10-K for the fiscal year ended December 31, 2018, which we strongly encourage you to review. As of the filing of this report, there have been no material changes from the risk factors disclosed in Item 1A of our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37" w:right="6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34"/>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160" w:type="dxa"/>
            <w:vAlign w:val="bottom"/>
            <w:gridSpan w:val="35"/>
          </w:tcPr>
          <w:p>
            <w:pPr>
              <w:spacing w:after="0"/>
              <w:rPr>
                <w:rFonts w:ascii="Arial" w:cs="Arial" w:eastAsia="Arial" w:hAnsi="Arial"/>
                <w:sz w:val="18"/>
                <w:szCs w:val="18"/>
                <w:color w:val="0000EE"/>
                <w:w w:val="96"/>
              </w:rPr>
            </w:pPr>
            <w:hyperlink r:id="rId46">
              <w:r>
                <w:rPr>
                  <w:rFonts w:ascii="Arial" w:cs="Arial" w:eastAsia="Arial" w:hAnsi="Arial"/>
                  <w:sz w:val="18"/>
                  <w:szCs w:val="18"/>
                  <w:color w:val="0000EE"/>
                  <w:w w:val="96"/>
                </w:rPr>
                <w:t>Share Exchange Agreement, dated as of February 11, 2019, by and between the Company and Arcturus Therapeutics Holdings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Incorporated by reference to Exhibit 10.13 to the Company’s Annual Report on Form 10-K for the year ended December 31, 2018 filed with</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the SEC on March 18, 2019.</w:t>
              </w:r>
            </w:hyperlink>
          </w:p>
        </w:tc>
        <w:tc>
          <w:tcPr>
            <w:tcW w:w="8100" w:type="dxa"/>
            <w:vAlign w:val="bottom"/>
            <w:gridSpan w:val="32"/>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tcBorders>
              <w:bottom w:val="single" w:sz="8" w:color="0000EE"/>
            </w:tcBorders>
            <w:gridSpan w:val="32"/>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Articles of Association of the Company. Incorporated by reference to Exhibit No. 4.1 to the Company’s Registration Statement on Form S-8</w:t>
              </w:r>
            </w:hyperlink>
          </w:p>
        </w:tc>
        <w:tc>
          <w:tcPr>
            <w:tcW w:w="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filed with the SEC on November 30, 2017 (File No. 333-221830).</w:t>
              </w:r>
            </w:hyperlink>
          </w:p>
        </w:tc>
        <w:tc>
          <w:tcPr>
            <w:tcW w:w="5320" w:type="dxa"/>
            <w:vAlign w:val="bottom"/>
            <w:gridSpan w:val="25"/>
          </w:tcPr>
          <w:p>
            <w:pPr>
              <w:spacing w:after="0"/>
              <w:rPr>
                <w:sz w:val="17"/>
                <w:szCs w:val="17"/>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9780" w:type="dxa"/>
            <w:vAlign w:val="bottom"/>
            <w:tcBorders>
              <w:bottom w:val="single" w:sz="8" w:color="0000EE"/>
            </w:tcBorders>
            <w:gridSpan w:val="24"/>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Arcturus Therapeutics Ltd. 2018 Omnibus Equity Incentive Plan. Incorporated by reference to Exhibit 99.3 to the Company’s Report of</w:t>
              </w:r>
            </w:hyperlink>
          </w:p>
        </w:tc>
        <w:tc>
          <w:tcPr>
            <w:tcW w:w="3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Foreign Private Issuer on Form 6-K filed with the SEC on July 27, 2018 (File No. 001-35932).</w:t>
              </w:r>
            </w:hyperlink>
          </w:p>
        </w:tc>
      </w:tr>
      <w:tr>
        <w:trPr>
          <w:trHeight w:val="20"/>
        </w:trPr>
        <w:tc>
          <w:tcPr>
            <w:tcW w:w="12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10080" w:type="dxa"/>
            <w:vAlign w:val="bottom"/>
            <w:tcBorders>
              <w:bottom w:val="single" w:sz="8" w:color="0000EE"/>
            </w:tcBorders>
            <w:gridSpan w:val="31"/>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Arcturus Therapeutics Ltd. Amended and Restated Compensation Policy for Company Office Holders. Incorporated by reference to Exhibit</w:t>
              </w:r>
            </w:hyperlink>
          </w:p>
        </w:tc>
        <w:tc>
          <w:tcPr>
            <w:tcW w:w="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99.</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Report of Foreign Private Issuer on Form 6-K filed with the SEC on July 27, 2018 (File No. 001-35932).</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120" w:type="dxa"/>
            <w:vAlign w:val="bottom"/>
            <w:tcBorders>
              <w:bottom w:val="single" w:sz="8" w:color="0000EE"/>
            </w:tcBorders>
            <w:gridSpan w:val="33"/>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Agreement and Plan of Merger and Reorganization among Alcobra Ltd., Aleph MergerSub, Inc. and Arcturus Therapeutics, Inc., dated as of</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September 27, 2017. Incorporated by reference to Exhibit 99.2 to the Company’s Report of Foreign Private Issuer on Form 6-K filed with</w:t>
              </w:r>
            </w:hyperlink>
          </w:p>
        </w:tc>
        <w:tc>
          <w:tcPr>
            <w:tcW w:w="2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the SEC on September 28, 2017 (File No. 001-35932).</w:t>
              </w:r>
            </w:hyperlink>
          </w:p>
        </w:tc>
        <w:tc>
          <w:tcPr>
            <w:tcW w:w="6220" w:type="dxa"/>
            <w:vAlign w:val="bottom"/>
            <w:gridSpan w:val="29"/>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Form of Indemnification Agreement. Incorporated by reference to Exhibit 10.4 to the Company’s Form F-1/A filed with the SEC on</w:t>
              </w:r>
            </w:hyperlink>
          </w:p>
        </w:tc>
        <w:tc>
          <w:tcPr>
            <w:tcW w:w="62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February 19, 2013 (File No. 333-186003).</w:t>
              </w:r>
            </w:hyperlink>
          </w:p>
        </w:tc>
        <w:tc>
          <w:tcPr>
            <w:tcW w:w="7120" w:type="dxa"/>
            <w:vAlign w:val="bottom"/>
            <w:gridSpan w:val="31"/>
          </w:tcPr>
          <w:p>
            <w:pPr>
              <w:spacing w:after="0"/>
              <w:rPr>
                <w:sz w:val="17"/>
                <w:szCs w:val="17"/>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4.5†</w:t>
            </w:r>
          </w:p>
        </w:tc>
        <w:tc>
          <w:tcPr>
            <w:tcW w:w="9800" w:type="dxa"/>
            <w:vAlign w:val="bottom"/>
            <w:tcBorders>
              <w:bottom w:val="single" w:sz="8" w:color="0000EE"/>
            </w:tcBorders>
            <w:gridSpan w:val="25"/>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Alcobra Ltd. Amended and Restated 2010 Incentive Option Plan. Incorporated by reference to Exhibit 4.3 to the Company’s Form 20-F</w:t>
              </w:r>
            </w:hyperlink>
          </w:p>
        </w:tc>
        <w:tc>
          <w:tcPr>
            <w:tcW w:w="36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filed with the SEC on April 28, 2017 (File No. 001-35932).</w:t>
              </w:r>
            </w:hyperlink>
          </w:p>
        </w:tc>
      </w:tr>
      <w:tr>
        <w:trPr>
          <w:trHeight w:val="20"/>
        </w:trPr>
        <w:tc>
          <w:tcPr>
            <w:tcW w:w="12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4.6†</w:t>
            </w:r>
          </w:p>
        </w:tc>
        <w:tc>
          <w:tcPr>
            <w:tcW w:w="9980" w:type="dxa"/>
            <w:vAlign w:val="bottom"/>
            <w:tcBorders>
              <w:bottom w:val="single" w:sz="8" w:color="0000EE"/>
            </w:tcBorders>
            <w:gridSpan w:val="28"/>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2013 Equity Incentive Plan of Arcturus Therapeutics, Inc. Incorporated by reference to Exhibit 99.1 to the Company’s Form S-8 filed with</w:t>
              </w:r>
            </w:hyperlink>
          </w:p>
        </w:tc>
        <w:tc>
          <w:tcPr>
            <w:tcW w:w="18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the SEC on November 30, 2017 (File No. 333-221830).</w:t>
              </w:r>
            </w:hyperlink>
          </w:p>
        </w:tc>
        <w:tc>
          <w:tcPr>
            <w:tcW w:w="6140" w:type="dxa"/>
            <w:vAlign w:val="bottom"/>
            <w:gridSpan w:val="28"/>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9"/>
              </w:rPr>
            </w:pPr>
            <w:hyperlink r:id="rId54">
              <w:r>
                <w:rPr>
                  <w:rFonts w:ascii="Arial" w:cs="Arial" w:eastAsia="Arial" w:hAnsi="Arial"/>
                  <w:sz w:val="18"/>
                  <w:szCs w:val="18"/>
                  <w:color w:val="0000EE"/>
                  <w:w w:val="99"/>
                </w:rPr>
                <w:t>Loan and Security Agreement, dated October 12, 2018, by and between Western Alliance Bank and Arcturus Therapeutics,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Incorporated by reference to Exhibit 10.1 to the Company’s Report of Foreign Private Issuer on Form 6-K filed with the SEC on October 15,</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Sales Agreement, dated October 15, 2018, by and between Arcturus Therapeutics Ltd. and Leerink Partners LLC. Incorporated by reference</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1"/>
          </w:tcPr>
          <w:p>
            <w:pPr>
              <w:spacing w:after="0" w:line="19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to Exhibit 10.2 to the Company’s Report of Foreign Private Issuer on Form 6-K filed with the SEC on October 15, 2018 (File No. 001-</w:t>
              </w:r>
            </w:hyperlink>
          </w:p>
        </w:tc>
        <w:tc>
          <w:tcPr>
            <w:tcW w:w="8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35932).</w:t>
              </w:r>
            </w:hyperlink>
          </w:p>
        </w:tc>
        <w:tc>
          <w:tcPr>
            <w:tcW w:w="1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160" w:type="dxa"/>
            <w:vAlign w:val="bottom"/>
            <w:gridSpan w:val="35"/>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Amended and Restated Amendment to Development and Option Agreement, dated as of September 28, 2018, by and between CureVac AG</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and Arcturus Therapeutics Inc. Incorporated by reference to Exhibit 99.2 to the Company’s Report of Foreign Private Issuer on Form 6-K</w:t>
              </w:r>
            </w:hyperlink>
          </w:p>
        </w:tc>
        <w:tc>
          <w:tcPr>
            <w:tcW w:w="100" w:type="dxa"/>
            <w:vAlign w:val="bottom"/>
            <w:tcBorders>
              <w:top w:val="single" w:sz="8" w:color="0000EE"/>
            </w:tcBorders>
            <w:gridSpan w:val="2"/>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filed with the SEC on October 1, 2018 (File No. 001-35932).</w:t>
              </w:r>
            </w:hyperlink>
          </w:p>
        </w:tc>
        <w:tc>
          <w:tcPr>
            <w:tcW w:w="5760" w:type="dxa"/>
            <w:vAlign w:val="bottom"/>
            <w:gridSpan w:val="26"/>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50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October 18, 2017. Incorporated by reference to Exhibit 4.7 to Form 20-F filed with the SEC on May 14, 2018 (File No. 001-35932).</w:t>
              </w:r>
            </w:hyperlink>
          </w:p>
        </w:tc>
        <w:tc>
          <w:tcPr>
            <w:tcW w:w="640" w:type="dxa"/>
            <w:vAlign w:val="bottom"/>
            <w:gridSpan w:val="17"/>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24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24, 2017. Incorporated by reference to Exhibit 4.8 to Form 20-F filed with the SEC on May 14, 2018 (File No. 001-35932).</w:t>
              </w:r>
            </w:hyperlink>
          </w:p>
        </w:tc>
        <w:tc>
          <w:tcPr>
            <w:tcW w:w="1260" w:type="dxa"/>
            <w:vAlign w:val="bottom"/>
            <w:gridSpan w:val="21"/>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Research Agreement, by and between Arcturus Therapeutics, Inc. and Millennium Pharmaceuticals, Inc., a wholly-owned subsidiary of</w:t>
              </w:r>
            </w:hyperlink>
          </w:p>
        </w:tc>
        <w:tc>
          <w:tcPr>
            <w:tcW w:w="40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Takeda Pharmaceutical Company Limited, effective December 6, 2016, as amended December 21, 2017. Incorporated by reference to</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4.9 to Form 20-F filed with the SEC on May 14, 2018 (File No. 001-35932).</w:t>
              </w:r>
            </w:hyperlink>
          </w:p>
        </w:tc>
        <w:tc>
          <w:tcPr>
            <w:tcW w:w="520" w:type="dxa"/>
            <w:vAlign w:val="bottom"/>
            <w:gridSpan w:val="1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22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into as of October 26, 2015, as amended October 17, 2017 and April 20, 2018. Incorporated by reference to Exhibit 4.10 to Form 20-F filed</w:t>
              </w:r>
            </w:hyperlink>
          </w:p>
        </w:tc>
        <w:tc>
          <w:tcPr>
            <w:tcW w:w="10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with the SEC on May 14, 2018 (File No. 001-35932).</w:t>
              </w:r>
            </w:hyperlink>
          </w:p>
        </w:tc>
        <w:tc>
          <w:tcPr>
            <w:tcW w:w="6300" w:type="dxa"/>
            <w:vAlign w:val="bottom"/>
            <w:gridSpan w:val="30"/>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Letter Agreement, by and between Arcturus Therapeutics, Inc. and Cystic Fibrosis Foundation Therapeutics, Inc., dated May 16, 2017.</w:t>
              </w:r>
            </w:hyperlink>
          </w:p>
        </w:tc>
        <w:tc>
          <w:tcPr>
            <w:tcW w:w="44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Incorporated by reference to Exhibit 4.11 to Form 20-F filed with the SEC on May 14, 2018 (File No. 001-35932).</w:t>
              </w:r>
            </w:hyperlink>
          </w:p>
        </w:tc>
        <w:tc>
          <w:tcPr>
            <w:tcW w:w="1900" w:type="dxa"/>
            <w:vAlign w:val="bottom"/>
            <w:gridSpan w:val="22"/>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780" w:type="dxa"/>
            <w:vAlign w:val="bottom"/>
            <w:tcBorders>
              <w:bottom w:val="single" w:sz="8" w:color="0000EE"/>
            </w:tcBorders>
            <w:gridSpan w:val="24"/>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3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May 3, 2018. Incorporated by reference to Exhibit 4.12 to Form 20-F filed with the SEC on May 14, 2018 (File No. 001-35932).</w:t>
              </w:r>
            </w:hyperlink>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tcBorders>
              <w:top w:val="single" w:sz="8" w:color="0000EE"/>
            </w:tcBorders>
            <w:gridSpan w:val="10"/>
          </w:tcPr>
          <w:p>
            <w:pPr>
              <w:ind w:left="4340"/>
              <w:spacing w:after="0"/>
              <w:rPr>
                <w:sz w:val="20"/>
                <w:szCs w:val="20"/>
                <w:color w:val="auto"/>
              </w:rPr>
            </w:pPr>
            <w:r>
              <w:rPr>
                <w:rFonts w:ascii="Arial" w:cs="Arial" w:eastAsia="Arial" w:hAnsi="Arial"/>
                <w:sz w:val="18"/>
                <w:szCs w:val="18"/>
                <w:color w:val="auto"/>
              </w:rPr>
              <w:t>25</w:t>
            </w:r>
          </w:p>
        </w:tc>
        <w:tc>
          <w:tcPr>
            <w:tcW w:w="1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770"/>
              <w:spacing w:after="0"/>
              <w:rPr>
                <w:sz w:val="20"/>
                <w:szCs w:val="20"/>
                <w:color w:val="auto"/>
              </w:rPr>
            </w:pPr>
            <w:r>
              <w:rPr>
                <w:rFonts w:ascii="Arial" w:cs="Arial" w:eastAsia="Arial" w:hAnsi="Arial"/>
                <w:sz w:val="18"/>
                <w:szCs w:val="18"/>
                <w:color w:val="auto"/>
                <w:w w:val="88"/>
              </w:rPr>
              <w:t>10.10</w:t>
            </w:r>
          </w:p>
        </w:tc>
        <w:tc>
          <w:tcPr>
            <w:tcW w:w="9860" w:type="dxa"/>
            <w:vAlign w:val="bottom"/>
            <w:tcBorders>
              <w:bottom w:val="single" w:sz="8" w:color="0000EE"/>
            </w:tcBorders>
            <w:gridSpan w:val="14"/>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2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7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2018. Incorporated by reference to Exhibit 4.13 to Form 20-F filed with the SEC on May 14, 2018 (File No. 001-35932).</w:t>
              </w:r>
            </w:hyperlink>
          </w:p>
        </w:tc>
        <w:tc>
          <w:tcPr>
            <w:tcW w:w="1380" w:type="dxa"/>
            <w:vAlign w:val="bottom"/>
            <w:gridSpan w:val="14"/>
          </w:tcPr>
          <w:p>
            <w:pPr>
              <w:spacing w:after="0"/>
              <w:rPr>
                <w:sz w:val="17"/>
                <w:szCs w:val="17"/>
                <w:color w:val="auto"/>
              </w:rPr>
            </w:pPr>
          </w:p>
        </w:tc>
      </w:tr>
      <w:tr>
        <w:trPr>
          <w:trHeight w:val="318"/>
        </w:trPr>
        <w:tc>
          <w:tcPr>
            <w:tcW w:w="1280" w:type="dxa"/>
            <w:vAlign w:val="bottom"/>
          </w:tcPr>
          <w:p>
            <w:pPr>
              <w:jc w:val="right"/>
              <w:ind w:right="790"/>
              <w:spacing w:after="0"/>
              <w:rPr>
                <w:sz w:val="20"/>
                <w:szCs w:val="20"/>
                <w:color w:val="auto"/>
              </w:rPr>
            </w:pPr>
            <w:r>
              <w:rPr>
                <w:rFonts w:ascii="Arial" w:cs="Arial" w:eastAsia="Arial" w:hAnsi="Arial"/>
                <w:sz w:val="18"/>
                <w:szCs w:val="18"/>
                <w:color w:val="auto"/>
                <w:w w:val="84"/>
              </w:rPr>
              <w:t>10.11</w:t>
            </w:r>
          </w:p>
        </w:tc>
        <w:tc>
          <w:tcPr>
            <w:tcW w:w="9040" w:type="dxa"/>
            <w:vAlign w:val="bottom"/>
            <w:tcBorders>
              <w:bottom w:val="single" w:sz="8" w:color="0000EE"/>
            </w:tcBorders>
            <w:gridSpan w:val="8"/>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106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Biotherapeutics Inc., dated as of November 28, 2012. Incorporated by reference to Exhibit 4.14 to Form 20-F/A filed with the SEC on July</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10, 2018 (File No. 001-35932).</w:t>
              </w:r>
            </w:hyperlink>
          </w:p>
        </w:tc>
        <w:tc>
          <w:tcPr>
            <w:tcW w:w="7840" w:type="dxa"/>
            <w:vAlign w:val="bottom"/>
            <w:gridSpan w:val="18"/>
          </w:tcPr>
          <w:p>
            <w:pPr>
              <w:spacing w:after="0"/>
              <w:rPr>
                <w:sz w:val="17"/>
                <w:szCs w:val="17"/>
                <w:color w:val="auto"/>
              </w:rPr>
            </w:pPr>
          </w:p>
        </w:tc>
      </w:tr>
      <w:tr>
        <w:trPr>
          <w:trHeight w:val="318"/>
        </w:trPr>
        <w:tc>
          <w:tcPr>
            <w:tcW w:w="1280" w:type="dxa"/>
            <w:vAlign w:val="bottom"/>
          </w:tcPr>
          <w:p>
            <w:pPr>
              <w:jc w:val="right"/>
              <w:ind w:right="770"/>
              <w:spacing w:after="0"/>
              <w:rPr>
                <w:sz w:val="20"/>
                <w:szCs w:val="20"/>
                <w:color w:val="auto"/>
              </w:rPr>
            </w:pPr>
            <w:r>
              <w:rPr>
                <w:rFonts w:ascii="Arial" w:cs="Arial" w:eastAsia="Arial" w:hAnsi="Arial"/>
                <w:sz w:val="18"/>
                <w:szCs w:val="18"/>
                <w:color w:val="auto"/>
                <w:w w:val="88"/>
              </w:rPr>
              <w:t>10.12</w:t>
            </w:r>
          </w:p>
        </w:tc>
        <w:tc>
          <w:tcPr>
            <w:tcW w:w="9800" w:type="dxa"/>
            <w:vAlign w:val="bottom"/>
            <w:tcBorders>
              <w:bottom w:val="single" w:sz="8" w:color="0000EE"/>
            </w:tcBorders>
            <w:gridSpan w:val="13"/>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30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7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2013. Incorporated by reference to Exhibit 4.15 to Form 20-F filed with the SEC on May 14, 2018 (File No. 001-35932).</w:t>
              </w:r>
            </w:hyperlink>
          </w:p>
        </w:tc>
        <w:tc>
          <w:tcPr>
            <w:tcW w:w="1380" w:type="dxa"/>
            <w:vAlign w:val="bottom"/>
            <w:gridSpan w:val="14"/>
          </w:tcPr>
          <w:p>
            <w:pPr>
              <w:spacing w:after="0"/>
              <w:rPr>
                <w:sz w:val="17"/>
                <w:szCs w:val="17"/>
                <w:color w:val="auto"/>
              </w:rPr>
            </w:pPr>
          </w:p>
        </w:tc>
      </w:tr>
      <w:tr>
        <w:trPr>
          <w:trHeight w:val="318"/>
        </w:trPr>
        <w:tc>
          <w:tcPr>
            <w:tcW w:w="1280" w:type="dxa"/>
            <w:vAlign w:val="bottom"/>
          </w:tcPr>
          <w:p>
            <w:pPr>
              <w:jc w:val="right"/>
              <w:ind w:right="770"/>
              <w:spacing w:after="0"/>
              <w:rPr>
                <w:sz w:val="20"/>
                <w:szCs w:val="20"/>
                <w:color w:val="auto"/>
              </w:rPr>
            </w:pPr>
            <w:r>
              <w:rPr>
                <w:rFonts w:ascii="Arial" w:cs="Arial" w:eastAsia="Arial" w:hAnsi="Arial"/>
                <w:sz w:val="18"/>
                <w:szCs w:val="18"/>
                <w:color w:val="auto"/>
                <w:w w:val="88"/>
              </w:rPr>
              <w:t>10.13</w:t>
            </w:r>
          </w:p>
        </w:tc>
        <w:tc>
          <w:tcPr>
            <w:tcW w:w="10100" w:type="dxa"/>
            <w:vAlign w:val="bottom"/>
            <w:tcBorders>
              <w:bottom w:val="single" w:sz="8" w:color="0000EE"/>
            </w:tcBorders>
            <w:gridSpan w:val="20"/>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Share Exchange Agreement, dated as of February 11, 2019, by and between Arcturus Therapeutics Ltd. and Arcturus Therapeutics Holdings</w:t>
              </w:r>
            </w:hyperlink>
          </w:p>
        </w:tc>
      </w:tr>
      <w:tr>
        <w:trPr>
          <w:trHeight w:val="196"/>
        </w:trPr>
        <w:tc>
          <w:tcPr>
            <w:tcW w:w="12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Inc. Incorporated by reference to Exhibit 10.13 to the Company’s Annual Report on Form 10-K for the year ended December 31, 2018 filed</w:t>
              </w:r>
            </w:hyperlink>
          </w:p>
        </w:tc>
      </w:tr>
      <w:tr>
        <w:trPr>
          <w:trHeight w:val="196"/>
        </w:trPr>
        <w:tc>
          <w:tcPr>
            <w:tcW w:w="12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with the SEC on March 18, 2019.</w:t>
              </w:r>
            </w:hyperlink>
          </w:p>
        </w:tc>
        <w:tc>
          <w:tcPr>
            <w:tcW w:w="764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80" w:type="dxa"/>
            <w:vAlign w:val="bottom"/>
          </w:tcPr>
          <w:p>
            <w:pPr>
              <w:jc w:val="right"/>
              <w:ind w:right="770"/>
              <w:spacing w:after="0"/>
              <w:rPr>
                <w:sz w:val="20"/>
                <w:szCs w:val="20"/>
                <w:color w:val="auto"/>
              </w:rPr>
            </w:pPr>
            <w:r>
              <w:rPr>
                <w:rFonts w:ascii="Arial" w:cs="Arial" w:eastAsia="Arial" w:hAnsi="Arial"/>
                <w:sz w:val="18"/>
                <w:szCs w:val="18"/>
                <w:color w:val="auto"/>
                <w:w w:val="88"/>
              </w:rPr>
              <w:t>10.14</w:t>
            </w:r>
          </w:p>
        </w:tc>
        <w:tc>
          <w:tcPr>
            <w:tcW w:w="10100" w:type="dxa"/>
            <w:vAlign w:val="bottom"/>
            <w:gridSpan w:val="20"/>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Amended and Restated Joint Venture, Research Collaboration and License Agreement, dated as of July 14, 2018 by and between Arcturus</w:t>
              </w:r>
            </w:hyperlink>
          </w:p>
        </w:tc>
      </w:tr>
      <w:tr>
        <w:trPr>
          <w:trHeight w:val="196"/>
        </w:trPr>
        <w:tc>
          <w:tcPr>
            <w:tcW w:w="1280" w:type="dxa"/>
            <w:vAlign w:val="bottom"/>
          </w:tcPr>
          <w:p>
            <w:pPr>
              <w:spacing w:after="0"/>
              <w:rPr>
                <w:sz w:val="17"/>
                <w:szCs w:val="17"/>
                <w:color w:val="auto"/>
              </w:rPr>
            </w:pPr>
          </w:p>
        </w:tc>
        <w:tc>
          <w:tcPr>
            <w:tcW w:w="9940" w:type="dxa"/>
            <w:vAlign w:val="bottom"/>
            <w:tcBorders>
              <w:top w:val="single" w:sz="8" w:color="0000EE"/>
            </w:tcBorders>
            <w:gridSpan w:val="15"/>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Therapeutics, Inc. and Providence Therapeutics, Inc. Incorporated by reference to Exhibit 10.14 to the Company’s Amendment No. 1 to</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Annual Report on Form 10-K for the year ended December 31, 2018 filed with the SEC on April 10, 2019.</w:t>
              </w:r>
            </w:hyperlink>
          </w:p>
        </w:tc>
        <w:tc>
          <w:tcPr>
            <w:tcW w:w="2080" w:type="dxa"/>
            <w:vAlign w:val="bottom"/>
            <w:tcBorders>
              <w:top w:val="single" w:sz="8" w:color="0000EE"/>
            </w:tcBorders>
            <w:gridSpan w:val="7"/>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318"/>
        </w:trPr>
        <w:tc>
          <w:tcPr>
            <w:tcW w:w="1280" w:type="dxa"/>
            <w:vAlign w:val="bottom"/>
          </w:tcPr>
          <w:p>
            <w:pPr>
              <w:jc w:val="right"/>
              <w:ind w:right="770"/>
              <w:spacing w:after="0"/>
              <w:rPr>
                <w:sz w:val="20"/>
                <w:szCs w:val="20"/>
                <w:color w:val="auto"/>
              </w:rPr>
            </w:pPr>
            <w:r>
              <w:rPr>
                <w:rFonts w:ascii="Arial" w:cs="Arial" w:eastAsia="Arial" w:hAnsi="Arial"/>
                <w:sz w:val="18"/>
                <w:szCs w:val="18"/>
                <w:color w:val="auto"/>
                <w:w w:val="88"/>
              </w:rPr>
              <w:t>10.15</w:t>
            </w:r>
          </w:p>
        </w:tc>
        <w:tc>
          <w:tcPr>
            <w:tcW w:w="8900" w:type="dxa"/>
            <w:vAlign w:val="bottom"/>
            <w:tcBorders>
              <w:bottom w:val="single" w:sz="8" w:color="0000EE"/>
            </w:tcBorders>
            <w:gridSpan w:val="7"/>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Research Collaboration Agreement, dated as of March 8, 2019 by and between Arcturus Therapeutics, Inc. and Millennium</w:t>
              </w:r>
            </w:hyperlink>
          </w:p>
        </w:tc>
        <w:tc>
          <w:tcPr>
            <w:tcW w:w="120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Pharmaceuticals, Inc., a wholly-owned subsidiary of Takeda Pharmaceutical Company Limited. Incorporated by reference to Exhibit 10.15</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to the Company’s Annual Report on Form 10-K for the year ended December 31, 2018 filed with the SEC on March 18, 2019.</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8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Adopted Pursuant 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31.2*</w:t>
            </w:r>
          </w:p>
        </w:tc>
        <w:tc>
          <w:tcPr>
            <w:tcW w:w="10100" w:type="dxa"/>
            <w:vAlign w:val="bottom"/>
            <w:gridSpan w:val="20"/>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280" w:type="dxa"/>
            <w:vAlign w:val="bottom"/>
          </w:tcPr>
          <w:p>
            <w:pPr>
              <w:spacing w:after="0"/>
              <w:rPr>
                <w:sz w:val="17"/>
                <w:szCs w:val="17"/>
                <w:color w:val="auto"/>
              </w:rPr>
            </w:pPr>
          </w:p>
        </w:tc>
        <w:tc>
          <w:tcPr>
            <w:tcW w:w="95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c>
          <w:tcPr>
            <w:tcW w:w="54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32.1*</w:t>
            </w:r>
          </w:p>
        </w:tc>
        <w:tc>
          <w:tcPr>
            <w:tcW w:w="10100" w:type="dxa"/>
            <w:vAlign w:val="bottom"/>
            <w:gridSpan w:val="20"/>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28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c>
          <w:tcPr>
            <w:tcW w:w="6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0" w:type="dxa"/>
            <w:vAlign w:val="bottom"/>
            <w:gridSpan w:val="19"/>
          </w:tcPr>
          <w:p>
            <w:pPr>
              <w:spacing w:after="0" w:line="20" w:lineRule="exact"/>
              <w:rPr>
                <w:sz w:val="1"/>
                <w:szCs w:val="1"/>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101.IAB</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6"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3200"/>
              <w:spacing w:after="0"/>
              <w:rPr>
                <w:sz w:val="20"/>
                <w:szCs w:val="20"/>
                <w:color w:val="auto"/>
              </w:rPr>
            </w:pPr>
            <w:r>
              <w:rPr>
                <w:rFonts w:ascii="Arial" w:cs="Arial" w:eastAsia="Arial" w:hAnsi="Arial"/>
                <w:sz w:val="18"/>
                <w:szCs w:val="18"/>
                <w:b w:val="1"/>
                <w:bCs w:val="1"/>
                <w:color w:val="auto"/>
              </w:rPr>
              <w:t>ARCTURUS THERAPEUTICS LTD.</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10, 2019</w:t>
            </w:r>
          </w:p>
        </w:tc>
        <w:tc>
          <w:tcPr>
            <w:tcW w:w="7880" w:type="dxa"/>
            <w:vAlign w:val="bottom"/>
            <w:gridSpan w:val="2"/>
          </w:tcPr>
          <w:p>
            <w:pPr>
              <w:ind w:left="3200"/>
              <w:spacing w:after="0"/>
              <w:rPr>
                <w:sz w:val="20"/>
                <w:szCs w:val="20"/>
                <w:color w:val="auto"/>
              </w:rPr>
            </w:pPr>
            <w:r>
              <w:rPr>
                <w:rFonts w:ascii="Arial" w:cs="Arial" w:eastAsia="Arial" w:hAnsi="Arial"/>
                <w:sz w:val="18"/>
                <w:szCs w:val="18"/>
                <w:color w:val="auto"/>
              </w:rPr>
              <w:t>By: /s/ Andrew Sassine</w:t>
            </w:r>
          </w:p>
        </w:tc>
      </w:tr>
      <w:tr>
        <w:trPr>
          <w:trHeight w:val="195"/>
        </w:trPr>
        <w:tc>
          <w:tcPr>
            <w:tcW w:w="3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Sassine</w:t>
            </w:r>
          </w:p>
        </w:tc>
      </w:tr>
      <w:tr>
        <w:trPr>
          <w:trHeight w:val="230"/>
        </w:trPr>
        <w:tc>
          <w:tcPr>
            <w:tcW w:w="3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40" w:type="dxa"/>
            <w:vAlign w:val="bottom"/>
          </w:tcPr>
          <w:p>
            <w:pPr>
              <w:spacing w:after="0"/>
              <w:rPr>
                <w:sz w:val="24"/>
                <w:szCs w:val="24"/>
                <w:color w:val="auto"/>
              </w:rPr>
            </w:pPr>
          </w:p>
        </w:tc>
        <w:tc>
          <w:tcPr>
            <w:tcW w:w="3560" w:type="dxa"/>
            <w:vAlign w:val="bottom"/>
          </w:tcPr>
          <w:p>
            <w:pPr>
              <w:jc w:val="right"/>
              <w:ind w:right="1210"/>
              <w:spacing w:after="0"/>
              <w:rPr>
                <w:sz w:val="20"/>
                <w:szCs w:val="20"/>
                <w:color w:val="auto"/>
              </w:rPr>
            </w:pPr>
            <w:r>
              <w:rPr>
                <w:rFonts w:ascii="Arial" w:cs="Arial" w:eastAsia="Arial" w:hAnsi="Arial"/>
                <w:sz w:val="18"/>
                <w:szCs w:val="18"/>
                <w:color w:val="auto"/>
              </w:rPr>
              <w:t>27</w:t>
            </w:r>
          </w:p>
        </w:tc>
        <w:tc>
          <w:tcPr>
            <w:tcW w:w="43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Ltd.;</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20" w:hanging="512"/>
        <w:spacing w:after="0" w:line="29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small business issuer and have:</w:t>
      </w:r>
    </w:p>
    <w:p>
      <w:pPr>
        <w:spacing w:after="0" w:line="210" w:lineRule="exact"/>
        <w:rPr>
          <w:rFonts w:ascii="Arial" w:cs="Arial" w:eastAsia="Arial" w:hAnsi="Arial"/>
          <w:sz w:val="16"/>
          <w:szCs w:val="16"/>
          <w:color w:val="auto"/>
        </w:rPr>
      </w:pPr>
    </w:p>
    <w:p>
      <w:pPr>
        <w:ind w:left="1040" w:right="1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Sassine,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Ltd.;</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20" w:hanging="512"/>
        <w:spacing w:after="0" w:line="291"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small business issuer and have:</w:t>
      </w:r>
    </w:p>
    <w:p>
      <w:pPr>
        <w:spacing w:after="0" w:line="210" w:lineRule="exact"/>
        <w:rPr>
          <w:rFonts w:ascii="Arial" w:cs="Arial" w:eastAsia="Arial" w:hAnsi="Arial"/>
          <w:sz w:val="16"/>
          <w:szCs w:val="16"/>
          <w:color w:val="auto"/>
        </w:rPr>
      </w:pPr>
    </w:p>
    <w:p>
      <w:pPr>
        <w:ind w:left="1040" w:right="18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i w:val="1"/>
          <w:iCs w:val="1"/>
          <w:color w:val="auto"/>
        </w:rPr>
        <w:t>(principal financial officer)</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connection with the Quarterly Report of Arcturus Therapeutics Ltd. (the “Company”) on Form 10-Q for the period ending March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connection with the Quarterly Report of Arcturus Therapeutics Ltd. (the “Company”) on Form 10-Q for the period ending March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606"/>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606"/>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46" Type="http://schemas.openxmlformats.org/officeDocument/2006/relationships/hyperlink" Target="http://www.sec.gov/Archives/edgar/data/0001566049/000156459019008092/arct-ex1013_446.htm" TargetMode="External"/><Relationship Id="rId47" Type="http://schemas.openxmlformats.org/officeDocument/2006/relationships/hyperlink" Target="http://www.sec.gov/Archives/edgar/data/1566049/000114420417061720/tv480453_ex4-1.htm" TargetMode="External"/><Relationship Id="rId48" Type="http://schemas.openxmlformats.org/officeDocument/2006/relationships/hyperlink" Target="http://www.sec.gov/Archives/edgar/data/1566049/000119380518001024/e618195_ex99-3.htm" TargetMode="External"/><Relationship Id="rId49" Type="http://schemas.openxmlformats.org/officeDocument/2006/relationships/hyperlink" Target="http://www.sec.gov/Archives/edgar/data/1566049/000119380518001024/e618195_ex99-2.htm" TargetMode="External"/><Relationship Id="rId50" Type="http://schemas.openxmlformats.org/officeDocument/2006/relationships/hyperlink" Target="http://www.sec.gov/Archives/edgar/data/1566049/000114420417050441/v476068_ex99-2.htm" TargetMode="External"/><Relationship Id="rId51" Type="http://schemas.openxmlformats.org/officeDocument/2006/relationships/hyperlink" Target="http://www.sec.gov/Archives/edgar/data/1566049/000114420413010022/v335246_ex10-4.htm" TargetMode="External"/><Relationship Id="rId52" Type="http://schemas.openxmlformats.org/officeDocument/2006/relationships/hyperlink" Target="http://www.sec.gov/Archives/edgar/data/1566049/000114420417023306/v463955_ex4-3.htm" TargetMode="External"/><Relationship Id="rId53" Type="http://schemas.openxmlformats.org/officeDocument/2006/relationships/hyperlink" Target="http://www.sec.gov/Archives/edgar/data/0001566049/000114420417061720/tv480453_ex99-1.htm" TargetMode="External"/><Relationship Id="rId54" Type="http://schemas.openxmlformats.org/officeDocument/2006/relationships/hyperlink" Target="http://www.sec.gov/Archives/edgar/data/1566049/000156459018024268/arct-ex101_7.htm" TargetMode="External"/><Relationship Id="rId55" Type="http://schemas.openxmlformats.org/officeDocument/2006/relationships/hyperlink" Target="http://www.sec.gov/Archives/edgar/data/1566049/000156459018024268/arct-ex102_6.htm" TargetMode="External"/><Relationship Id="rId56" Type="http://schemas.openxmlformats.org/officeDocument/2006/relationships/hyperlink" Target="http://www.sec.gov/Archives/edgar/data/1566049/000156459018023735/arct-ex992_6.htm" TargetMode="External"/><Relationship Id="rId57" Type="http://schemas.openxmlformats.org/officeDocument/2006/relationships/hyperlink" Target="http://www.sec.gov/Archives/edgar/data/1566049/000156459018013460/arct-ex47_880.htm" TargetMode="External"/><Relationship Id="rId58" Type="http://schemas.openxmlformats.org/officeDocument/2006/relationships/hyperlink" Target="http://www.sec.gov/Archives/edgar/data/1566049/000156459018013460/arct-ex48_879.htm" TargetMode="External"/><Relationship Id="rId59" Type="http://schemas.openxmlformats.org/officeDocument/2006/relationships/hyperlink" Target="http://www.sec.gov/Archives/edgar/data/1566049/000156459018013460/arct-ex49_884.htm" TargetMode="External"/><Relationship Id="rId60" Type="http://schemas.openxmlformats.org/officeDocument/2006/relationships/hyperlink" Target="http://www.sec.gov/Archives/edgar/data/1566049/000156459018013460/arct-ex410_883.htm" TargetMode="External"/><Relationship Id="rId61" Type="http://schemas.openxmlformats.org/officeDocument/2006/relationships/hyperlink" Target="http://www.sec.gov/Archives/edgar/data/1566049/000156459018013460/arct-ex411_878.htm" TargetMode="External"/><Relationship Id="rId62" Type="http://schemas.openxmlformats.org/officeDocument/2006/relationships/hyperlink" Target="http://www.sec.gov/Archives/edgar/data/1566049/000156459018013460/arct-ex412_1677.htm" TargetMode="External"/><Relationship Id="rId65" Type="http://schemas.openxmlformats.org/officeDocument/2006/relationships/hyperlink" Target="http://www.sec.gov/Archives/edgar/data/1566049/000156459018013460/arct-ex413_1676.htm" TargetMode="External"/><Relationship Id="rId66" Type="http://schemas.openxmlformats.org/officeDocument/2006/relationships/hyperlink" Target="http://www.sec.gov/Archives/edgar/data/1566049/000156459018016705/arct-ex414_7.htm" TargetMode="External"/><Relationship Id="rId67" Type="http://schemas.openxmlformats.org/officeDocument/2006/relationships/hyperlink" Target="http://www.sec.gov/Archives/edgar/data/1566049/000156459018013460/arct-ex415_876.htm" TargetMode="External"/><Relationship Id="rId68" Type="http://schemas.openxmlformats.org/officeDocument/2006/relationships/hyperlink" Target="http://www.sec.gov/Archives/edgar/data/0001566049/000156459019011220/arct-ex1014_6.htm" TargetMode="External"/><Relationship Id="rId69" Type="http://schemas.openxmlformats.org/officeDocument/2006/relationships/hyperlink" Target="http://www.sec.gov/Archives/edgar/data/0001566049/000156459019008092/arct-ex1015_5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2019-12-28T12:26:45Z</dcterms:created>
  <dcterms:modified xsi:type="dcterms:W3CDTF">2019-12-28T12:26:45Z</dcterms:modified>
</cp:coreProperties>
</file>