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ARCTURUS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001-38942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32-0595345</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San Diego, California 92121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(858) 900-2660</w:t>
      </w:r>
    </w:p>
    <w:p>
      <w:pPr>
        <w:spacing w:after="0" w:line="24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238125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ARCT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Material Definitive Agreement.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previously disclosed, on July 26, 2019, Arcturus Therapeutics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an engagement letter (the “</w:t>
      </w:r>
      <w:r>
        <w:rPr>
          <w:rFonts w:ascii="Arial" w:cs="Arial" w:eastAsia="Arial" w:hAnsi="Arial"/>
          <w:sz w:val="18"/>
          <w:szCs w:val="18"/>
          <w:u w:val="single" w:color="auto"/>
          <w:color w:val="auto"/>
        </w:rPr>
        <w:t>Letter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with H.C. Wainwright &amp; Co., LLC (the “</w:t>
      </w:r>
      <w:r>
        <w:rPr>
          <w:rFonts w:ascii="Arial" w:cs="Arial" w:eastAsia="Arial" w:hAnsi="Arial"/>
          <w:sz w:val="18"/>
          <w:szCs w:val="18"/>
          <w:u w:val="single" w:color="auto"/>
          <w:color w:val="auto"/>
        </w:rPr>
        <w:t>Placement Agent</w:t>
      </w:r>
      <w:r>
        <w:rPr>
          <w:rFonts w:ascii="Arial" w:cs="Arial" w:eastAsia="Arial" w:hAnsi="Arial"/>
          <w:sz w:val="18"/>
          <w:szCs w:val="18"/>
          <w:color w:val="auto"/>
        </w:rPr>
        <w:t>”) relating to the Company’s registered direct offering of common stock to certain institutional investors (the “</w:t>
      </w:r>
      <w:r>
        <w:rPr>
          <w:rFonts w:ascii="Arial" w:cs="Arial" w:eastAsia="Arial" w:hAnsi="Arial"/>
          <w:sz w:val="18"/>
          <w:szCs w:val="18"/>
          <w:u w:val="single" w:color="auto"/>
          <w:color w:val="auto"/>
        </w:rPr>
        <w:t>Investors</w:t>
      </w:r>
      <w:r>
        <w:rPr>
          <w:rFonts w:ascii="Arial" w:cs="Arial" w:eastAsia="Arial" w:hAnsi="Arial"/>
          <w:sz w:val="18"/>
          <w:szCs w:val="18"/>
          <w:color w:val="auto"/>
        </w:rPr>
        <w:t>”). Pursuant to the Letter Agreement, the Company agreed to pay the Placement Agent a cash fee of 6.0% of the gross proceeds raised from the Investors and $75,000 for expenses.</w:t>
      </w:r>
    </w:p>
    <w:p>
      <w:pPr>
        <w:spacing w:after="0" w:line="187"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Also as previously disclosed, on August 1, 2019, the Company and Investors entered into securities purchase agreements for the issuance and sale of 945,653 shares of common stock at a purchase price of $11.50 per share for aggregate gross proceeds of $10,875,009.50 and estimated net proceeds, after deducting Placement Agent fees and the Company’s estimated offering expenses, of $10.1 million.</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on August 2, 2019, the Company and an additional institutional Investor entered into a securities purchase agreement (the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relating to the issuance and sale of 200,000 shares of common stock at a purchase price of $11.50 per share for aggregate gross proceeds of $2,300,000 (the “</w:t>
      </w:r>
      <w:r>
        <w:rPr>
          <w:rFonts w:ascii="Arial" w:cs="Arial" w:eastAsia="Arial" w:hAnsi="Arial"/>
          <w:sz w:val="18"/>
          <w:szCs w:val="18"/>
          <w:u w:val="single" w:color="auto"/>
          <w:color w:val="auto"/>
        </w:rPr>
        <w:t>Offering</w:t>
      </w:r>
      <w:r>
        <w:rPr>
          <w:rFonts w:ascii="Arial" w:cs="Arial" w:eastAsia="Arial" w:hAnsi="Arial"/>
          <w:sz w:val="18"/>
          <w:szCs w:val="18"/>
          <w:color w:val="auto"/>
        </w:rPr>
        <w:t>”).</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net proceeds to the Company from the Offering, after deducting Placement Agent fees and the Company’s estimated offering expenses, are expected to be approximately $2.1 million. The Offering is expected to close on or about August 5, 2019, subject to the satisfaction of customary closing conditions.</w:t>
      </w:r>
    </w:p>
    <w:p>
      <w:pPr>
        <w:spacing w:after="0" w:line="181"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The common stock is registered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on the Company’s Registration Statement on Form S-3 (Registration No. 333-232281), previously filed with the Securities and Exchange Commission and declared effective on July 29, 2019.</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representations, warranties and covenants contained in the Securities Purchase Agreement (i) are intended as a way of allocating the risk between the parties to the Securities Purchase Agreement and not as statements of fact, and (ii) may apply standards of materiality in a way that is different from what may be viewed as material by stockholders of, or other investors in, the Company. Accordingly, the Securities Purchase Agreement is included with this filing only to provide investors with information regarding the terms of the transactions. Moreover, information concerning the subject matter of the representations and warranties may change after the date of the Securities Purchase Agreement, which subsequent information may or may not be fully reflected in public disclosures.</w:t>
      </w:r>
    </w:p>
    <w:p>
      <w:pPr>
        <w:spacing w:after="0" w:line="19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foregoing description of the Letter Agreement and the Securities Purchase Agreement are subject to, and qualified in their entirety by, the documents attached as Exhibit 1.1 to the Company’s Current Report on Form 8-K filed on August 2, 2019 and Exhibit 10.1 hereto, respectively, and incorporated herein by reference. Dentons US LLP, counsel to the Company, delivered an opinion as to legality of the issuance of the shares in the Offering, a copy of which is attached hereto as Exhibit 5.1 and is incorporated herein by reference.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August 2, 2019, the Company issued a press release with respect to the information set forth above. A copy of the press release is furnished as Exhibit 99.1 and is incorporated herein by reference. The disclosure in this Item 7.01 (including the exhibit) shall not be deemed “filed” for purposes of Section 18 of the Securities Exchange Act of 1934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Section 18, nor shall it be deemed incorporated by reference in any of the Company’s filings under the Securities Act or the Exchange Act, except to the extent, if any, expressly set forth by specific reference in such filing.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52" w:lineRule="exact"/>
        <w:rPr>
          <w:sz w:val="20"/>
          <w:szCs w:val="20"/>
          <w:color w:val="auto"/>
        </w:rPr>
      </w:pPr>
    </w:p>
    <w:p>
      <w:pPr>
        <w:ind w:left="720" w:right="500" w:hanging="625"/>
        <w:spacing w:after="0" w:line="277"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1.1</w:t>
      </w:r>
      <w:r>
        <w:rPr>
          <w:sz w:val="20"/>
          <w:szCs w:val="20"/>
          <w:color w:val="auto"/>
        </w:rPr>
        <w:tab/>
      </w:r>
      <w:hyperlink r:id="rId18">
        <w:r>
          <w:rPr>
            <w:rFonts w:ascii="Arial" w:cs="Arial" w:eastAsia="Arial" w:hAnsi="Arial"/>
            <w:sz w:val="18"/>
            <w:szCs w:val="18"/>
            <w:u w:val="single" w:color="auto"/>
            <w:color w:val="0000EE"/>
          </w:rPr>
          <w:t>Letter Agreement, dated July 26, 2019, between the Company and the Placement Agent. Incorporated by reference to Exhibit 1.1 to the</w:t>
        </w:r>
      </w:hyperlink>
      <w:r>
        <w:rPr>
          <w:rFonts w:ascii="Arial" w:cs="Arial" w:eastAsia="Arial" w:hAnsi="Arial"/>
          <w:sz w:val="18"/>
          <w:szCs w:val="18"/>
          <w:u w:val="single" w:color="auto"/>
          <w:color w:val="0000EE"/>
        </w:rPr>
        <w:t xml:space="preserve"> </w:t>
      </w:r>
      <w:hyperlink r:id="rId18">
        <w:r>
          <w:rPr>
            <w:rFonts w:ascii="Arial" w:cs="Arial" w:eastAsia="Arial" w:hAnsi="Arial"/>
            <w:sz w:val="18"/>
            <w:szCs w:val="18"/>
            <w:u w:val="single" w:color="auto"/>
            <w:color w:val="0000EE"/>
          </w:rPr>
          <w:t>Company’s Current Report on Form 8-K filed on August 2, 2019.</w:t>
        </w:r>
      </w:hyperlink>
    </w:p>
    <w:p>
      <w:pPr>
        <w:spacing w:after="0" w:line="62" w:lineRule="exact"/>
        <w:rPr>
          <w:sz w:val="20"/>
          <w:szCs w:val="20"/>
          <w:color w:val="auto"/>
        </w:rPr>
      </w:pPr>
    </w:p>
    <w:p>
      <w:pPr>
        <w:ind w:left="100"/>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4">
        <w:r>
          <w:rPr>
            <w:rFonts w:ascii="Arial" w:cs="Arial" w:eastAsia="Arial" w:hAnsi="Arial"/>
            <w:sz w:val="16"/>
            <w:szCs w:val="16"/>
            <w:u w:val="single" w:color="auto"/>
            <w:color w:val="0000EE"/>
          </w:rPr>
          <w:t>Opinion of Dentons US LLP.</w:t>
        </w:r>
      </w:hyperlink>
    </w:p>
    <w:p>
      <w:pPr>
        <w:spacing w:after="0" w:line="117" w:lineRule="exact"/>
        <w:rPr>
          <w:sz w:val="20"/>
          <w:szCs w:val="20"/>
          <w:color w:val="auto"/>
        </w:rPr>
      </w:pPr>
    </w:p>
    <w:p>
      <w:pPr>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6">
        <w:r>
          <w:rPr>
            <w:rFonts w:ascii="Arial" w:cs="Arial" w:eastAsia="Arial" w:hAnsi="Arial"/>
            <w:sz w:val="16"/>
            <w:szCs w:val="16"/>
            <w:u w:val="single" w:color="auto"/>
            <w:color w:val="0000EE"/>
          </w:rPr>
          <w:t>Securities Purchase Agreement, dated August 2, 2019, between the Company and the Investor.</w:t>
        </w:r>
      </w:hyperlink>
    </w:p>
    <w:p>
      <w:pPr>
        <w:spacing w:after="0" w:line="117" w:lineRule="exact"/>
        <w:rPr>
          <w:sz w:val="20"/>
          <w:szCs w:val="20"/>
          <w:color w:val="auto"/>
        </w:rPr>
      </w:pPr>
    </w:p>
    <w:p>
      <w:pPr>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4">
        <w:r>
          <w:rPr>
            <w:rFonts w:ascii="Arial" w:cs="Arial" w:eastAsia="Arial" w:hAnsi="Arial"/>
            <w:sz w:val="16"/>
            <w:szCs w:val="16"/>
            <w:u w:val="single" w:color="auto"/>
            <w:color w:val="0000EE"/>
          </w:rPr>
          <w:t>Consent of Dentons US LLP (included in Exhibit 5.1).</w:t>
        </w:r>
      </w:hyperlink>
    </w:p>
    <w:p>
      <w:pPr>
        <w:spacing w:after="0" w:line="117" w:lineRule="exact"/>
        <w:rPr>
          <w:sz w:val="20"/>
          <w:szCs w:val="20"/>
          <w:color w:val="auto"/>
        </w:rPr>
      </w:pPr>
    </w:p>
    <w:p>
      <w:pPr>
        <w:spacing w:after="0"/>
        <w:tabs>
          <w:tab w:leader="none" w:pos="7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39">
        <w:r>
          <w:rPr>
            <w:rFonts w:ascii="Arial" w:cs="Arial" w:eastAsia="Arial" w:hAnsi="Arial"/>
            <w:sz w:val="15"/>
            <w:szCs w:val="15"/>
            <w:u w:val="single" w:color="auto"/>
            <w:color w:val="0000EE"/>
          </w:rPr>
          <w:t>Press Release, dated August 2, 2019.</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29" w:lineRule="exact"/>
        <w:rPr>
          <w:sz w:val="20"/>
          <w:szCs w:val="20"/>
          <w:color w:val="auto"/>
        </w:rPr>
      </w:pPr>
    </w:p>
    <w:p>
      <w:pPr>
        <w:spacing w:after="0"/>
        <w:tabs>
          <w:tab w:leader="none" w:pos="5620" w:val="left"/>
          <w:tab w:leader="none" w:pos="6040" w:val="left"/>
        </w:tabs>
        <w:rPr>
          <w:sz w:val="20"/>
          <w:szCs w:val="20"/>
          <w:color w:val="auto"/>
        </w:rPr>
      </w:pPr>
      <w:r>
        <w:rPr>
          <w:rFonts w:ascii="Arial" w:cs="Arial" w:eastAsia="Arial" w:hAnsi="Arial"/>
          <w:sz w:val="18"/>
          <w:szCs w:val="18"/>
          <w:color w:val="auto"/>
        </w:rPr>
        <w:t>Date: August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Joseph E. Payne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1509395"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509395" cy="30861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10020-1089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United States</w:t>
      </w:r>
    </w:p>
    <w:p>
      <w:pPr>
        <w:spacing w:after="0" w:line="131" w:lineRule="exact"/>
        <w:rPr>
          <w:sz w:val="20"/>
          <w:szCs w:val="20"/>
          <w:color w:val="auto"/>
        </w:rPr>
      </w:pPr>
    </w:p>
    <w:p>
      <w:pPr>
        <w:jc w:val="right"/>
        <w:spacing w:after="0"/>
        <w:rPr>
          <w:sz w:val="20"/>
          <w:szCs w:val="20"/>
          <w:color w:val="auto"/>
        </w:rPr>
      </w:pPr>
      <w:r>
        <w:rPr>
          <w:sz w:val="1"/>
          <w:szCs w:val="1"/>
          <w:color w:val="auto"/>
        </w:rPr>
        <w:drawing>
          <wp:inline distT="0" distB="0" distL="0" distR="0">
            <wp:extent cx="214630" cy="1371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14630" cy="137160"/>
                    </a:xfrm>
                    <a:prstGeom prst="rect">
                      <a:avLst/>
                    </a:prstGeom>
                    <a:noFill/>
                    <a:ln>
                      <a:noFill/>
                    </a:ln>
                  </pic:spPr>
                </pic:pic>
              </a:graphicData>
            </a:graphic>
          </wp:inline>
        </w:drawing>
      </w:r>
      <w:r>
        <w:rPr>
          <w:rFonts w:ascii="Arial" w:cs="Arial" w:eastAsia="Arial" w:hAnsi="Arial"/>
          <w:sz w:val="18"/>
          <w:szCs w:val="18"/>
          <w:b w:val="1"/>
          <w:bCs w:val="1"/>
          <w:color w:val="auto"/>
        </w:rPr>
        <w:t xml:space="preserve"> Salans FMC SNR Denton McKenna Long</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Sale of Shares of Common Stock registered pursuant to Registration Statement on Form S-3 (File No. 333-232281)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acted as counsel to Arcturus Therapeutics Holdings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a registration statement on Form S-3, File No. 333-232281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heretofore filed by the Company with the Securities and Exchange Commission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and the prospectus supplement filed pursuant to Rule 424(b) under the Act, dated as of August 2, 2019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under which the Company offered 200,000 shares of the Company’s common stock, $0.001 par value per share (the “</w:t>
      </w:r>
      <w:r>
        <w:rPr>
          <w:rFonts w:ascii="Arial" w:cs="Arial" w:eastAsia="Arial" w:hAnsi="Arial"/>
          <w:sz w:val="17"/>
          <w:szCs w:val="17"/>
          <w:b w:val="1"/>
          <w:bCs w:val="1"/>
          <w:color w:val="auto"/>
        </w:rPr>
        <w:t>Shares</w:t>
      </w:r>
      <w:r>
        <w:rPr>
          <w:rFonts w:ascii="Arial" w:cs="Arial" w:eastAsia="Arial" w:hAnsi="Arial"/>
          <w:sz w:val="17"/>
          <w:szCs w:val="17"/>
          <w:color w:val="auto"/>
        </w:rPr>
        <w:t>”). The Shares are being sold pursuant to a securities purchase agreement dated as of August 2, 2019, by and among the Company and the investor party thereto (the “</w:t>
      </w:r>
      <w:r>
        <w:rPr>
          <w:rFonts w:ascii="Arial" w:cs="Arial" w:eastAsia="Arial" w:hAnsi="Arial"/>
          <w:sz w:val="17"/>
          <w:szCs w:val="17"/>
          <w:b w:val="1"/>
          <w:bCs w:val="1"/>
          <w:color w:val="auto"/>
        </w:rPr>
        <w:t>Purchase Agreement</w:t>
      </w:r>
      <w:r>
        <w:rPr>
          <w:rFonts w:ascii="Arial" w:cs="Arial" w:eastAsia="Arial" w:hAnsi="Arial"/>
          <w:sz w:val="17"/>
          <w:szCs w:val="17"/>
          <w:color w:val="auto"/>
        </w:rPr>
        <w:t>”). Capitalized terms used but not otherwise defined herein shall have the meanings assigned to such terms in the Purchase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being delivered to you pursuant to Item 601(b)(5) of Regulation S-K under the Act at the request of the Company.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rendering this opinion, we have examined originals, certified copies or copies otherwise identified as being true copies of the following: (i) the Company’s Certificate of Incorporation, (ii) the Company’s By-Laws, (iii) the Registration Statement, including the prospectus (the “</w:t>
      </w:r>
      <w:r>
        <w:rPr>
          <w:rFonts w:ascii="Arial" w:cs="Arial" w:eastAsia="Arial" w:hAnsi="Arial"/>
          <w:sz w:val="18"/>
          <w:szCs w:val="18"/>
          <w:b w:val="1"/>
          <w:bCs w:val="1"/>
          <w:color w:val="auto"/>
        </w:rPr>
        <w:t>Base Prospectus</w:t>
      </w:r>
      <w:r>
        <w:rPr>
          <w:rFonts w:ascii="Arial" w:cs="Arial" w:eastAsia="Arial" w:hAnsi="Arial"/>
          <w:sz w:val="18"/>
          <w:szCs w:val="18"/>
          <w:color w:val="auto"/>
        </w:rPr>
        <w:t>”) contained therein, (iv) the Prospectus Supplement (Prospectus Supplement and the Base Prospectus are collectively referred to herein as the “</w:t>
      </w:r>
      <w:r>
        <w:rPr>
          <w:rFonts w:ascii="Arial" w:cs="Arial" w:eastAsia="Arial" w:hAnsi="Arial"/>
          <w:sz w:val="18"/>
          <w:szCs w:val="18"/>
          <w:b w:val="1"/>
          <w:bCs w:val="1"/>
          <w:color w:val="auto"/>
        </w:rPr>
        <w:t>Prospectus</w:t>
      </w:r>
      <w:r>
        <w:rPr>
          <w:rFonts w:ascii="Arial" w:cs="Arial" w:eastAsia="Arial" w:hAnsi="Arial"/>
          <w:sz w:val="18"/>
          <w:szCs w:val="18"/>
          <w:color w:val="auto"/>
        </w:rPr>
        <w:t>”), (v) corporate proceedings of the Company relating to the Shares, and (vi) such other instruments and documents as we have deemed necessary under the circumstances.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assumed the genuineness and authenticity of all documents examined by us and all signatures thereon, and the conformity to originals of all copies of documents examined by us.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Based upon the foregoing, and in reliance thereon, and subject to the qualifications, limitations and exceptions stated herein, we are of the opinion having due regard for such legal considerations as we deemed relevant, that the Shares, have been duly authorized and, when, sold and delivered by the Company against receipt of the purchase price therefor, in the manner contemplated by the Prospectus and the Purchase Agreement, will be validly issued, fully paid and nonassessable.</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opinions are subject to the effect of federal and state bankruptcy, insolvency, reorganization, arrangement, moratorium, fraudulent conveyance and other laws relating to or affecting the rights of secured or unsecured creditors generally (or affecting the rights of only creditors of specific types of debtors), with respect to which we express no opinion.</w:t>
      </w:r>
    </w:p>
    <w:p>
      <w:pPr>
        <w:sectPr>
          <w:pgSz w:w="11900" w:h="16838" w:orient="portrait"/>
          <w:cols w:equalWidth="0" w:num="1">
            <w:col w:w="11020"/>
          </w:cols>
          <w:pgMar w:left="440" w:top="121" w:right="439" w:bottom="1440" w:gutter="0" w:footer="0" w:header="0"/>
        </w:sectPr>
      </w:pPr>
    </w:p>
    <w:bookmarkStart w:id="4" w:name="page5"/>
    <w:bookmarkEnd w:id="4"/>
    <w:p>
      <w:pPr>
        <w:ind w:left="3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Arcturus Therapeutics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117475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174750" cy="308610"/>
                    </a:xfrm>
                    <a:prstGeom prst="rect">
                      <a:avLst/>
                    </a:prstGeom>
                    <a:noFill/>
                  </pic:spPr>
                </pic:pic>
              </a:graphicData>
            </a:graphic>
          </wp:anchor>
        </w:drawing>
      </w:r>
    </w:p>
    <w:p>
      <w:pPr>
        <w:spacing w:after="0" w:line="2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August 2, 2019</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Salans FMC SNR Denton</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dentons.com</w:t>
      </w:r>
    </w:p>
    <w:p>
      <w:pPr>
        <w:spacing w:after="0" w:line="416" w:lineRule="exact"/>
        <w:rPr>
          <w:sz w:val="20"/>
          <w:szCs w:val="20"/>
          <w:color w:val="auto"/>
        </w:rPr>
      </w:pPr>
    </w:p>
    <w:p>
      <w:pPr>
        <w:sectPr>
          <w:pgSz w:w="11900" w:h="16838" w:orient="portrait"/>
          <w:cols w:equalWidth="0" w:num="2">
            <w:col w:w="8440" w:space="720"/>
            <w:col w:w="1860"/>
          </w:cols>
          <w:pgMar w:left="440" w:top="274" w:right="439" w:bottom="1440" w:gutter="0" w:footer="0" w:header="0"/>
        </w:sectPr>
      </w:pPr>
    </w:p>
    <w:p>
      <w:pPr>
        <w:spacing w:after="0" w:line="24"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Our opinions are subject to limitations imposed by general principles of equity or public policy upon the enforceability of any of the remedies or covenants, including, without limitation, concepts of materiality, good faith and fair dealing and upon the availability of injunctive relief or other equitable remedies, and the application of principles of equity (regardless of whether enforcement is considered in proceedings at law or in equity).</w:t>
      </w:r>
    </w:p>
    <w:p>
      <w:pPr>
        <w:spacing w:after="0" w:line="14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express no opinion as to the laws of any jurisdiction other than Delaware general corporation law and the federal laws of the United States of America.</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hereby consent to the inclusion of this opinion as an exhibit to a Current Report on Form 8-K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Dentons US LLP</w:t>
      </w:r>
    </w:p>
    <w:p>
      <w:pPr>
        <w:sectPr>
          <w:pgSz w:w="11900" w:h="16838" w:orient="portrait"/>
          <w:cols w:equalWidth="0" w:num="1">
            <w:col w:w="11020"/>
          </w:cols>
          <w:pgMar w:left="440" w:top="274" w:right="4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August 2, 2019, between Arcturus Therapeutics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1"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WHEREAS, subject to the terms and conditions set forth in this Agreement and pursuant to an effective registration statement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Company desires to issue and sell to each Purchaser, and each Purchaser, severally and not jointly, desires to purchase from the Company, securities of the Company as more fully described in this Agreement.</w:t>
      </w:r>
    </w:p>
    <w:p>
      <w:pPr>
        <w:spacing w:after="0" w:line="166"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4.5.</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117" w:lineRule="exact"/>
        <w:rPr>
          <w:sz w:val="20"/>
          <w:szCs w:val="20"/>
          <w:color w:val="auto"/>
        </w:rPr>
      </w:pPr>
    </w:p>
    <w:p>
      <w:pPr>
        <w:ind w:left="440" w:right="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left="440" w:right="40" w:firstLine="42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3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Shares pursuant to Section 2.1.</w:t>
      </w:r>
    </w:p>
    <w:p>
      <w:pPr>
        <w:spacing w:after="0" w:line="117" w:lineRule="exact"/>
        <w:rPr>
          <w:sz w:val="20"/>
          <w:szCs w:val="20"/>
          <w:color w:val="auto"/>
        </w:rPr>
      </w:pPr>
    </w:p>
    <w:p>
      <w:pPr>
        <w:ind w:left="440" w:right="16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 but in no event later than the second (2</w:t>
      </w:r>
      <w:r>
        <w:rPr>
          <w:rFonts w:ascii="Arial" w:cs="Arial" w:eastAsia="Arial" w:hAnsi="Arial"/>
          <w:sz w:val="15"/>
          <w:szCs w:val="15"/>
          <w:color w:val="auto"/>
        </w:rPr>
        <w:t>nd</w:t>
      </w:r>
      <w:r>
        <w:rPr>
          <w:rFonts w:ascii="Arial" w:cs="Arial" w:eastAsia="Arial" w:hAnsi="Arial"/>
          <w:sz w:val="18"/>
          <w:szCs w:val="18"/>
          <w:color w:val="auto"/>
        </w:rPr>
        <w:t>) Trading Day following the date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6" w:name="page7"/>
    <w:bookmarkEnd w:id="6"/>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117" w:lineRule="exact"/>
        <w:rPr>
          <w:sz w:val="20"/>
          <w:szCs w:val="20"/>
          <w:color w:val="auto"/>
        </w:rPr>
      </w:pPr>
    </w:p>
    <w:p>
      <w:pPr>
        <w:ind w:right="1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$0.001 per share, and any other class of securities into which such securities may hereafter be reclassified or changed.</w:t>
      </w:r>
    </w:p>
    <w:p>
      <w:pPr>
        <w:spacing w:after="0" w:line="62" w:lineRule="exact"/>
        <w:rPr>
          <w:sz w:val="20"/>
          <w:szCs w:val="20"/>
          <w:color w:val="auto"/>
        </w:rPr>
      </w:pPr>
    </w:p>
    <w:p>
      <w:pPr>
        <w:ind w:right="40" w:firstLine="42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Counsel</w:t>
      </w:r>
      <w:r>
        <w:rPr>
          <w:rFonts w:ascii="Arial" w:cs="Arial" w:eastAsia="Arial" w:hAnsi="Arial"/>
          <w:sz w:val="17"/>
          <w:szCs w:val="17"/>
          <w:color w:val="auto"/>
        </w:rPr>
        <w:t>” means Dentons US LLP, with offices located at 1221 Avenue of the Americas, New York, NY 10020-1089.</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29" w:lineRule="exact"/>
        <w:rPr>
          <w:sz w:val="20"/>
          <w:szCs w:val="20"/>
          <w:color w:val="auto"/>
        </w:rPr>
      </w:pPr>
    </w:p>
    <w:p>
      <w:pPr>
        <w:ind w:firstLine="42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shares of Common Stock upon the exercise or exchange of or conversion of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4.12(a)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 (d) shares of Common Stock at a price per share of at least the Per Share Purchase Price.</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shall have the meaning ascribed to such term in Section 3.1(hh).</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00"/>
          </w:cols>
          <w:pgMar w:left="880" w:top="274" w:right="519" w:bottom="1440" w:gutter="0" w:footer="0" w:header="0"/>
        </w:sectPr>
      </w:pPr>
    </w:p>
    <w:bookmarkStart w:id="7" w:name="page8"/>
    <w:bookmarkEnd w:id="7"/>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FDCA</w:t>
      </w:r>
      <w:r>
        <w:rPr>
          <w:rFonts w:ascii="Arial" w:cs="Arial" w:eastAsia="Arial" w:hAnsi="Arial"/>
          <w:sz w:val="18"/>
          <w:szCs w:val="18"/>
          <w:color w:val="auto"/>
        </w:rPr>
        <w:t>” shall have the meaning ascribed to such term in Section 3.1(hh).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3.1(aa).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3.1(p).</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lien, charge, pledge, security interest, encumbrance, right of first refusal, preemptive right or other restriction.</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3.1(n).</w:t>
      </w:r>
    </w:p>
    <w:p>
      <w:pPr>
        <w:spacing w:after="0" w:line="117" w:lineRule="exact"/>
        <w:rPr>
          <w:sz w:val="20"/>
          <w:szCs w:val="20"/>
          <w:color w:val="auto"/>
        </w:rPr>
      </w:pPr>
    </w:p>
    <w:p>
      <w:pPr>
        <w:ind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equals $11.50, subject to adjustment for reverse and forward stock splits, stock dividends, stock combinations and other similar transactions of the Common Stock that occur after the date of this Agreement.</w:t>
      </w:r>
    </w:p>
    <w:p>
      <w:pPr>
        <w:spacing w:after="0" w:line="62" w:lineRule="exact"/>
        <w:rPr>
          <w:sz w:val="20"/>
          <w:szCs w:val="20"/>
          <w:color w:val="auto"/>
        </w:rPr>
      </w:pPr>
    </w:p>
    <w:p>
      <w:pPr>
        <w:ind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Pharmaceutical Product</w:t>
      </w:r>
      <w:r>
        <w:rPr>
          <w:rFonts w:ascii="Arial" w:cs="Arial" w:eastAsia="Arial" w:hAnsi="Arial"/>
          <w:sz w:val="18"/>
          <w:szCs w:val="18"/>
          <w:color w:val="auto"/>
        </w:rPr>
        <w:t>” shall have the meaning ascribed to such term in Section 3.1(hh).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w:t>
      </w:r>
      <w:r>
        <w:rPr>
          <w:rFonts w:ascii="Arial" w:cs="Arial" w:eastAsia="Arial" w:hAnsi="Arial"/>
          <w:sz w:val="18"/>
          <w:szCs w:val="18"/>
          <w:color w:val="auto"/>
        </w:rPr>
        <w:t>” means H.C. Wainwright &amp; Co., LLC.</w:t>
      </w:r>
    </w:p>
    <w:p>
      <w:pPr>
        <w:spacing w:after="0" w:line="117" w:lineRule="exact"/>
        <w:rPr>
          <w:sz w:val="20"/>
          <w:szCs w:val="20"/>
          <w:color w:val="auto"/>
        </w:rPr>
      </w:pPr>
    </w:p>
    <w:p>
      <w:pPr>
        <w:ind w:right="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base prospectus filed for the Registration Statement.</w:t>
      </w:r>
    </w:p>
    <w:p>
      <w:pPr>
        <w:spacing w:after="0" w:line="117" w:lineRule="exact"/>
        <w:rPr>
          <w:sz w:val="20"/>
          <w:szCs w:val="20"/>
          <w:color w:val="auto"/>
        </w:rPr>
      </w:pPr>
    </w:p>
    <w:p>
      <w:pPr>
        <w:ind w:right="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the supplement to the Prospectus complying with Rule 424(b) of the Securities Act that is filed with the Commission and delivered by the Company to each Purchaser at the Closing.</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117" w:lineRule="exact"/>
        <w:rPr>
          <w:sz w:val="20"/>
          <w:szCs w:val="20"/>
          <w:color w:val="auto"/>
        </w:rPr>
      </w:pPr>
    </w:p>
    <w:p>
      <w:pPr>
        <w:ind w:right="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effective registration statement with Commission file No. 333-232281 which registers the sale of the Shares to the Purchasers.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40"/>
          </w:cols>
          <w:pgMar w:left="880" w:top="274" w:right="679" w:bottom="1440" w:gutter="0" w:footer="0" w:header="0"/>
        </w:sectPr>
      </w:pPr>
    </w:p>
    <w:bookmarkStart w:id="8" w:name="page9"/>
    <w:bookmarkEnd w:id="8"/>
    <w:p>
      <w:pPr>
        <w:ind w:right="80" w:firstLine="42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73" w:lineRule="exact"/>
        <w:rPr>
          <w:sz w:val="20"/>
          <w:szCs w:val="20"/>
          <w:color w:val="auto"/>
        </w:rPr>
      </w:pPr>
    </w:p>
    <w:p>
      <w:pPr>
        <w:ind w:right="8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each Purchaser pursuant to this Agreement.</w:t>
      </w:r>
    </w:p>
    <w:p>
      <w:pPr>
        <w:spacing w:after="0" w:line="117" w:lineRule="exact"/>
        <w:rPr>
          <w:sz w:val="20"/>
          <w:szCs w:val="20"/>
          <w:color w:val="auto"/>
        </w:rPr>
      </w:pPr>
    </w:p>
    <w:p>
      <w:pPr>
        <w:ind w:right="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62" w:lineRule="exact"/>
        <w:rPr>
          <w:sz w:val="20"/>
          <w:szCs w:val="20"/>
          <w:color w:val="auto"/>
        </w:rPr>
      </w:pPr>
    </w:p>
    <w:p>
      <w:pPr>
        <w:jc w:val="both"/>
        <w:ind w:right="26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spacing w:after="0" w:line="73" w:lineRule="exact"/>
        <w:rPr>
          <w:sz w:val="20"/>
          <w:szCs w:val="20"/>
          <w:color w:val="auto"/>
        </w:rPr>
      </w:pPr>
    </w:p>
    <w:p>
      <w:pPr>
        <w:ind w:right="20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117" w:lineRule="exact"/>
        <w:rPr>
          <w:sz w:val="20"/>
          <w:szCs w:val="20"/>
          <w:color w:val="auto"/>
        </w:rPr>
      </w:pPr>
    </w:p>
    <w:p>
      <w:pPr>
        <w:ind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73" w:lineRule="exact"/>
        <w:rPr>
          <w:sz w:val="20"/>
          <w:szCs w:val="20"/>
          <w:color w:val="auto"/>
        </w:rPr>
      </w:pPr>
    </w:p>
    <w:p>
      <w:pPr>
        <w:ind w:right="4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all exhibits and schedules thereto and hereto and any other documents or agreements executed in connection with the transactions contemplated hereunder.</w:t>
      </w:r>
    </w:p>
    <w:p>
      <w:pPr>
        <w:spacing w:after="0" w:line="62" w:lineRule="exact"/>
        <w:rPr>
          <w:sz w:val="20"/>
          <w:szCs w:val="20"/>
          <w:color w:val="auto"/>
        </w:rPr>
      </w:pPr>
    </w:p>
    <w:p>
      <w:pPr>
        <w:ind w:right="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Continental Stock Transfer &amp; Trust Company, the current transfer agent of the Company, with a mailing address of State Street, 30th Floor, New York, NY 10004-1561, and any successor transfer agent of the Company.</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80" w:top="274" w:right="4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PURCHASE AND SALE</w:t>
      </w:r>
    </w:p>
    <w:p>
      <w:pPr>
        <w:spacing w:after="0" w:line="211"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Closing</w:t>
      </w:r>
      <w:r>
        <w:rPr>
          <w:rFonts w:ascii="Arial" w:cs="Arial" w:eastAsia="Arial" w:hAnsi="Arial"/>
          <w:sz w:val="16"/>
          <w:szCs w:val="16"/>
          <w:color w:val="auto"/>
        </w:rPr>
        <w:t>. On the Closing Date, upon the terms and subject to the conditions set forth herein, the Company agrees to sell, and the Purchasers, severally and not jointly, agree to purchase, up to an aggregate of 200,000 Shares. Each Purchaser’s Subscription Amount as set forth on the signature page hereto executed by such Purchaser shall be made available for “Delivery Versus Payment” settlement with the Company or its designees. The Company shall deliver to each Purchaser its respective Shares and the Company and each Purchaser shall deliver the other items set forth in Section 2.2 deliverable at the Closing. Upon satisfaction of the covenants and conditions set forth in Sections 2.2 and 2.3, the Closing shall occur at the offices of the Placement Agent or such other location as the parties shall mutually agree. Unless otherwise mutually agreed upon by the parties and the Placement Agent, settlement of the Shares shall occur via “Delivery Versus Payment” (“</w:t>
      </w:r>
      <w:r>
        <w:rPr>
          <w:rFonts w:ascii="Arial" w:cs="Arial" w:eastAsia="Arial" w:hAnsi="Arial"/>
          <w:sz w:val="16"/>
          <w:szCs w:val="16"/>
          <w:u w:val="single" w:color="auto"/>
          <w:color w:val="auto"/>
        </w:rPr>
        <w:t>DVP</w:t>
      </w:r>
      <w:r>
        <w:rPr>
          <w:rFonts w:ascii="Arial" w:cs="Arial" w:eastAsia="Arial" w:hAnsi="Arial"/>
          <w:sz w:val="16"/>
          <w:szCs w:val="16"/>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Deliveries</w:t>
      </w:r>
      <w:r>
        <w:rPr>
          <w:rFonts w:ascii="Arial" w:cs="Arial" w:eastAsia="Arial" w:hAnsi="Arial"/>
          <w:sz w:val="18"/>
          <w:szCs w:val="18"/>
          <w:color w:val="auto"/>
        </w:rPr>
        <w:t>.</w:t>
      </w:r>
    </w:p>
    <w:p>
      <w:pPr>
        <w:spacing w:after="0" w:line="117" w:lineRule="exact"/>
        <w:rPr>
          <w:sz w:val="20"/>
          <w:szCs w:val="20"/>
          <w:color w:val="auto"/>
        </w:rPr>
      </w:pPr>
    </w:p>
    <w:p>
      <w:pPr>
        <w:ind w:left="1120" w:hanging="252"/>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117" w:lineRule="exact"/>
        <w:rPr>
          <w:rFonts w:ascii="Arial" w:cs="Arial" w:eastAsia="Arial" w:hAnsi="Arial"/>
          <w:sz w:val="18"/>
          <w:szCs w:val="18"/>
          <w:color w:val="auto"/>
        </w:rPr>
      </w:pPr>
    </w:p>
    <w:p>
      <w:pPr>
        <w:ind w:left="1620" w:hanging="223"/>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117" w:lineRule="exact"/>
        <w:rPr>
          <w:rFonts w:ascii="Arial" w:cs="Arial" w:eastAsia="Arial" w:hAnsi="Arial"/>
          <w:sz w:val="18"/>
          <w:szCs w:val="18"/>
          <w:color w:val="auto"/>
        </w:rPr>
      </w:pPr>
    </w:p>
    <w:p>
      <w:pPr>
        <w:ind w:left="1660" w:hanging="263"/>
        <w:spacing w:after="0"/>
        <w:tabs>
          <w:tab w:leader="none" w:pos="1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 legal opinion of Company Counsel, in a form reasonably acceptable to the Placement Agent and Purchasers;</w:t>
      </w:r>
    </w:p>
    <w:p>
      <w:pPr>
        <w:spacing w:after="0" w:line="117" w:lineRule="exact"/>
        <w:rPr>
          <w:rFonts w:ascii="Arial" w:cs="Arial" w:eastAsia="Arial" w:hAnsi="Arial"/>
          <w:sz w:val="18"/>
          <w:szCs w:val="18"/>
          <w:color w:val="auto"/>
        </w:rPr>
      </w:pPr>
    </w:p>
    <w:p>
      <w:pPr>
        <w:ind w:left="1000" w:firstLine="397"/>
        <w:spacing w:after="0" w:line="277" w:lineRule="auto"/>
        <w:tabs>
          <w:tab w:leader="none" w:pos="1716"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Company shall have provided each Purchaser with the Company’s wire instructions, on Company letterhead and executed by the Chief Executive Officer or Chief Financial Officer;</w:t>
      </w:r>
    </w:p>
    <w:p>
      <w:pPr>
        <w:spacing w:after="0" w:line="62" w:lineRule="exact"/>
        <w:rPr>
          <w:rFonts w:ascii="Arial" w:cs="Arial" w:eastAsia="Arial" w:hAnsi="Arial"/>
          <w:sz w:val="18"/>
          <w:szCs w:val="18"/>
          <w:color w:val="auto"/>
        </w:rPr>
      </w:pPr>
    </w:p>
    <w:p>
      <w:pPr>
        <w:ind w:left="1000" w:right="60" w:firstLine="397"/>
        <w:spacing w:after="0" w:line="312" w:lineRule="auto"/>
        <w:tabs>
          <w:tab w:leader="none" w:pos="1706" w:val="left"/>
        </w:tabs>
        <w:numPr>
          <w:ilvl w:val="1"/>
          <w:numId w:val="2"/>
        </w:numPr>
        <w:rPr>
          <w:rFonts w:ascii="Arial" w:cs="Arial" w:eastAsia="Arial" w:hAnsi="Arial"/>
          <w:sz w:val="16"/>
          <w:szCs w:val="16"/>
          <w:color w:val="auto"/>
        </w:rPr>
      </w:pPr>
      <w:r>
        <w:rPr>
          <w:rFonts w:ascii="Arial" w:cs="Arial" w:eastAsia="Arial" w:hAnsi="Arial"/>
          <w:sz w:val="16"/>
          <w:szCs w:val="16"/>
          <w:color w:val="auto"/>
        </w:rPr>
        <w:t>subject to the last sentence of Section 2.1, a copy of the irrevocable instructions to the Transfer Agent instructing the Transfer Agent to deliver on an expedited basis via The Depository Trust Company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Shares equal to such Purchaser’s Subscription Amount divided by the Per Share Purchase Price, registered in the name of such Purchaser; and</w:t>
      </w:r>
    </w:p>
    <w:p>
      <w:pPr>
        <w:spacing w:after="0" w:line="38" w:lineRule="exact"/>
        <w:rPr>
          <w:rFonts w:ascii="Arial" w:cs="Arial" w:eastAsia="Arial" w:hAnsi="Arial"/>
          <w:sz w:val="16"/>
          <w:szCs w:val="16"/>
          <w:color w:val="auto"/>
        </w:rPr>
      </w:pPr>
    </w:p>
    <w:p>
      <w:pPr>
        <w:ind w:left="1660" w:hanging="263"/>
        <w:spacing w:after="0"/>
        <w:tabs>
          <w:tab w:leader="none" w:pos="166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Prospectus and Prospectus Supplement (which may be delivered in accordance with Rule 172 under the Securities Act).</w:t>
      </w:r>
    </w:p>
    <w:p>
      <w:pPr>
        <w:spacing w:after="0" w:line="140" w:lineRule="exact"/>
        <w:rPr>
          <w:rFonts w:ascii="Arial" w:cs="Arial" w:eastAsia="Arial" w:hAnsi="Arial"/>
          <w:sz w:val="16"/>
          <w:szCs w:val="16"/>
          <w:color w:val="auto"/>
        </w:rPr>
      </w:pPr>
    </w:p>
    <w:p>
      <w:pPr>
        <w:ind w:left="1120" w:hanging="252"/>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or prior to the Closing Date, each Purchaser shall deliver or cause to be delivered to the Company the following:</w:t>
      </w:r>
    </w:p>
    <w:p>
      <w:pPr>
        <w:spacing w:after="0" w:line="117" w:lineRule="exact"/>
        <w:rPr>
          <w:rFonts w:ascii="Arial" w:cs="Arial" w:eastAsia="Arial" w:hAnsi="Arial"/>
          <w:sz w:val="18"/>
          <w:szCs w:val="18"/>
          <w:color w:val="auto"/>
        </w:rPr>
      </w:pPr>
    </w:p>
    <w:p>
      <w:pPr>
        <w:ind w:left="1620" w:hanging="223"/>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this Agreement duly executed by such Purchaser;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10" w:name="page11"/>
    <w:bookmarkEnd w:id="10"/>
    <w:p>
      <w:pPr>
        <w:ind w:left="560" w:right="580" w:firstLine="397"/>
        <w:spacing w:after="0" w:line="277" w:lineRule="auto"/>
        <w:tabs>
          <w:tab w:leader="none" w:pos="1226"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Purchaser’s Subscription Amount, which shall be made available for “Delivery Versus Payment” settlement with the Company or its designees.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117" w:lineRule="exact"/>
        <w:rPr>
          <w:sz w:val="20"/>
          <w:szCs w:val="20"/>
          <w:color w:val="auto"/>
        </w:rPr>
      </w:pPr>
    </w:p>
    <w:p>
      <w:pPr>
        <w:ind w:left="680" w:hanging="25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obligations of the Company hereunder in connection with the Closing are subject to the following conditions being met:</w:t>
      </w:r>
    </w:p>
    <w:p>
      <w:pPr>
        <w:spacing w:after="0" w:line="117" w:lineRule="exact"/>
        <w:rPr>
          <w:rFonts w:ascii="Arial" w:cs="Arial" w:eastAsia="Arial" w:hAnsi="Arial"/>
          <w:sz w:val="18"/>
          <w:szCs w:val="18"/>
          <w:color w:val="auto"/>
        </w:rPr>
      </w:pPr>
    </w:p>
    <w:p>
      <w:pPr>
        <w:ind w:left="560" w:right="400" w:firstLine="397"/>
        <w:spacing w:after="0" w:line="286" w:lineRule="auto"/>
        <w:tabs>
          <w:tab w:leader="none" w:pos="1176"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57" w:lineRule="exact"/>
        <w:rPr>
          <w:rFonts w:ascii="Arial" w:cs="Arial" w:eastAsia="Arial" w:hAnsi="Arial"/>
          <w:sz w:val="17"/>
          <w:szCs w:val="17"/>
          <w:color w:val="auto"/>
        </w:rPr>
      </w:pPr>
    </w:p>
    <w:p>
      <w:pPr>
        <w:ind w:left="560" w:right="200" w:firstLine="397"/>
        <w:spacing w:after="0" w:line="277" w:lineRule="auto"/>
        <w:tabs>
          <w:tab w:leader="none" w:pos="1226"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required to be performed at or prior to the Closing Date shall have been performed; and</w:t>
      </w:r>
    </w:p>
    <w:p>
      <w:pPr>
        <w:spacing w:after="0" w:line="62" w:lineRule="exact"/>
        <w:rPr>
          <w:rFonts w:ascii="Arial" w:cs="Arial" w:eastAsia="Arial" w:hAnsi="Arial"/>
          <w:sz w:val="18"/>
          <w:szCs w:val="18"/>
          <w:color w:val="auto"/>
        </w:rPr>
      </w:pPr>
    </w:p>
    <w:p>
      <w:pPr>
        <w:ind w:left="1280" w:hanging="323"/>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respective obligations of the Purchasers hereunder in connection with the Closing are subject to the following conditions being met:</w:t>
      </w:r>
    </w:p>
    <w:p>
      <w:pPr>
        <w:spacing w:after="0" w:line="140" w:lineRule="exact"/>
        <w:rPr>
          <w:rFonts w:ascii="Arial" w:cs="Arial" w:eastAsia="Arial" w:hAnsi="Arial"/>
          <w:sz w:val="16"/>
          <w:szCs w:val="16"/>
          <w:color w:val="auto"/>
        </w:rPr>
      </w:pPr>
    </w:p>
    <w:p>
      <w:pPr>
        <w:ind w:left="1180" w:hanging="223"/>
        <w:spacing w:after="0"/>
        <w:tabs>
          <w:tab w:leader="none" w:pos="118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w:t>
      </w:r>
    </w:p>
    <w:p>
      <w:pPr>
        <w:spacing w:after="0" w:line="34" w:lineRule="exact"/>
        <w:rPr>
          <w:rFonts w:ascii="Arial" w:cs="Arial" w:eastAsia="Arial" w:hAnsi="Arial"/>
          <w:sz w:val="17"/>
          <w:szCs w:val="17"/>
          <w:color w:val="auto"/>
        </w:rPr>
      </w:pPr>
    </w:p>
    <w:p>
      <w:pPr>
        <w:ind w:left="560"/>
        <w:spacing w:after="0" w:line="261" w:lineRule="auto"/>
        <w:rPr>
          <w:rFonts w:ascii="Arial" w:cs="Arial" w:eastAsia="Arial" w:hAnsi="Arial"/>
          <w:sz w:val="17"/>
          <w:szCs w:val="17"/>
          <w:color w:val="auto"/>
        </w:rPr>
      </w:pPr>
      <w:r>
        <w:rPr>
          <w:rFonts w:ascii="Arial" w:cs="Arial" w:eastAsia="Arial" w:hAnsi="Arial"/>
          <w:sz w:val="18"/>
          <w:szCs w:val="18"/>
          <w:color w:val="auto"/>
        </w:rPr>
        <w:t>Adverse Effect, in all respects) when made and on the Closing Date of the representations and warranties of the Company contained herein (unless as of a specific date therein in which case they shall be accurate as of such date);</w:t>
      </w:r>
    </w:p>
    <w:p>
      <w:pPr>
        <w:spacing w:after="0" w:line="75" w:lineRule="exact"/>
        <w:rPr>
          <w:rFonts w:ascii="Arial" w:cs="Arial" w:eastAsia="Arial" w:hAnsi="Arial"/>
          <w:sz w:val="17"/>
          <w:szCs w:val="17"/>
          <w:color w:val="auto"/>
        </w:rPr>
      </w:pPr>
    </w:p>
    <w:p>
      <w:pPr>
        <w:ind w:left="560" w:right="320" w:firstLine="397"/>
        <w:spacing w:after="0" w:line="277" w:lineRule="auto"/>
        <w:tabs>
          <w:tab w:leader="none" w:pos="1226"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Closing Date shall have been performed;</w:t>
      </w:r>
    </w:p>
    <w:p>
      <w:pPr>
        <w:spacing w:after="0" w:line="62" w:lineRule="exact"/>
        <w:rPr>
          <w:rFonts w:ascii="Arial" w:cs="Arial" w:eastAsia="Arial" w:hAnsi="Arial"/>
          <w:sz w:val="18"/>
          <w:szCs w:val="18"/>
          <w:color w:val="auto"/>
        </w:rPr>
      </w:pPr>
    </w:p>
    <w:p>
      <w:pPr>
        <w:ind w:left="1280" w:hanging="323"/>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117" w:lineRule="exact"/>
        <w:rPr>
          <w:rFonts w:ascii="Arial" w:cs="Arial" w:eastAsia="Arial" w:hAnsi="Arial"/>
          <w:sz w:val="18"/>
          <w:szCs w:val="18"/>
          <w:color w:val="auto"/>
        </w:rPr>
      </w:pPr>
    </w:p>
    <w:p>
      <w:pPr>
        <w:ind w:left="1260" w:hanging="303"/>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117" w:lineRule="exact"/>
        <w:rPr>
          <w:rFonts w:ascii="Arial" w:cs="Arial" w:eastAsia="Arial" w:hAnsi="Arial"/>
          <w:sz w:val="18"/>
          <w:szCs w:val="18"/>
          <w:color w:val="auto"/>
        </w:rPr>
      </w:pPr>
    </w:p>
    <w:p>
      <w:pPr>
        <w:ind w:left="560" w:right="40" w:firstLine="397"/>
        <w:spacing w:after="0" w:line="291" w:lineRule="auto"/>
        <w:tabs>
          <w:tab w:leader="none" w:pos="1216" w:val="left"/>
        </w:tabs>
        <w:numPr>
          <w:ilvl w:val="1"/>
          <w:numId w:val="4"/>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Except as set forth in the SEC Reports, which SEC Reports shall be deemed a part hereof and shall qualify any representation or otherwise made herein to the extent of the disclosure contained in the SEC Reports, the Company hereby makes the following representations and warranties to each Purchaser:</w:t>
      </w:r>
    </w:p>
    <w:p>
      <w:pPr>
        <w:spacing w:after="0" w:line="73" w:lineRule="exact"/>
        <w:rPr>
          <w:sz w:val="20"/>
          <w:szCs w:val="20"/>
          <w:color w:val="auto"/>
        </w:rPr>
      </w:pPr>
    </w:p>
    <w:p>
      <w:pPr>
        <w:ind w:left="440" w:right="80" w:firstLine="428"/>
        <w:spacing w:after="0" w:line="257" w:lineRule="auto"/>
        <w:tabs>
          <w:tab w:leader="none" w:pos="1108"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80" w:lineRule="exact"/>
        <w:rPr>
          <w:rFonts w:ascii="Arial" w:cs="Arial" w:eastAsia="Arial" w:hAnsi="Arial"/>
          <w:sz w:val="18"/>
          <w:szCs w:val="18"/>
          <w:color w:val="auto"/>
        </w:rPr>
      </w:pPr>
    </w:p>
    <w:p>
      <w:pPr>
        <w:ind w:left="440" w:right="40" w:firstLine="428"/>
        <w:spacing w:after="0" w:line="268" w:lineRule="auto"/>
        <w:tabs>
          <w:tab w:leader="none" w:pos="1118"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and each of the Subsidiaries is an entity duly incorporated or otherwise organized, validly existing and in good standing under the laws of the jurisdiction of its incorporation or organization (if a good standing concept exists in such jurisdiction),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(if a good standing concept exists in such jurisdiction),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7"/>
          <w:szCs w:val="17"/>
          <w:u w:val="single" w:color="auto"/>
          <w:color w:val="auto"/>
        </w:rPr>
        <w:t>Material Adverse</w:t>
      </w:r>
      <w:r>
        <w:rPr>
          <w:rFonts w:ascii="Arial" w:cs="Arial" w:eastAsia="Arial" w:hAnsi="Arial"/>
          <w:sz w:val="17"/>
          <w:szCs w:val="17"/>
          <w:color w:val="auto"/>
        </w:rPr>
        <w:t xml:space="preserve"> </w:t>
      </w:r>
      <w:r>
        <w:rPr>
          <w:rFonts w:ascii="Arial" w:cs="Arial" w:eastAsia="Arial" w:hAnsi="Arial"/>
          <w:sz w:val="17"/>
          <w:szCs w:val="17"/>
          <w:u w:val="single" w:color="auto"/>
          <w:color w:val="auto"/>
        </w:rPr>
        <w:t>Effect</w:t>
      </w:r>
      <w:r>
        <w:rPr>
          <w:rFonts w:ascii="Arial" w:cs="Arial" w:eastAsia="Arial" w:hAnsi="Arial"/>
          <w:sz w:val="17"/>
          <w:szCs w:val="17"/>
          <w:color w:val="auto"/>
        </w:rPr>
        <w:t>”); provided that a change in the market price or trading volume of the Common Stock alone shall not be deemed, in and of itself, to constitute a Material Adverse Effect. No Proceeding has been instituted in any such jurisdiction revoking, limiting or curtailing or seeking to revoke, limit or curtail such power and authority or qualification.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12" w:name="page13"/>
    <w:bookmarkEnd w:id="12"/>
    <w:p>
      <w:pPr>
        <w:ind w:right="60" w:firstLine="428"/>
        <w:spacing w:after="0" w:line="287" w:lineRule="auto"/>
        <w:tabs>
          <w:tab w:leader="none" w:pos="668"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Authorization; Enforcement</w:t>
      </w:r>
      <w:r>
        <w:rPr>
          <w:rFonts w:ascii="Arial" w:cs="Arial" w:eastAsia="Arial" w:hAnsi="Arial"/>
          <w:sz w:val="16"/>
          <w:szCs w:val="16"/>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64" w:lineRule="exact"/>
        <w:rPr>
          <w:rFonts w:ascii="Arial" w:cs="Arial" w:eastAsia="Arial" w:hAnsi="Arial"/>
          <w:sz w:val="16"/>
          <w:szCs w:val="16"/>
          <w:color w:val="auto"/>
        </w:rPr>
      </w:pPr>
    </w:p>
    <w:p>
      <w:pPr>
        <w:ind w:firstLine="428"/>
        <w:spacing w:after="0" w:line="284" w:lineRule="auto"/>
        <w:tabs>
          <w:tab w:leader="none" w:pos="678"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w:t>
      </w:r>
    </w:p>
    <w:p>
      <w:pPr>
        <w:spacing w:after="0" w:line="1" w:lineRule="exact"/>
        <w:rPr>
          <w:rFonts w:ascii="Arial" w:cs="Arial" w:eastAsia="Arial" w:hAnsi="Arial"/>
          <w:sz w:val="16"/>
          <w:szCs w:val="16"/>
          <w:color w:val="auto"/>
        </w:rPr>
      </w:pPr>
    </w:p>
    <w:p>
      <w:pPr>
        <w:jc w:val="both"/>
        <w:ind w:right="20" w:firstLine="4"/>
        <w:spacing w:after="0" w:line="281" w:lineRule="auto"/>
        <w:tabs>
          <w:tab w:leader="none" w:pos="315"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w:t>
      </w:r>
    </w:p>
    <w:p>
      <w:pPr>
        <w:spacing w:after="0" w:line="2" w:lineRule="exact"/>
        <w:rPr>
          <w:rFonts w:ascii="Arial" w:cs="Arial" w:eastAsia="Arial" w:hAnsi="Arial"/>
          <w:sz w:val="16"/>
          <w:szCs w:val="16"/>
          <w:color w:val="auto"/>
        </w:rPr>
      </w:pPr>
    </w:p>
    <w:p>
      <w:pPr>
        <w:ind w:left="260" w:hanging="256"/>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and (iii), such as could not have or reasonably be expected to result in a Material Adverse Effect.</w:t>
      </w:r>
    </w:p>
    <w:p>
      <w:pPr>
        <w:spacing w:after="0" w:line="102" w:lineRule="exact"/>
        <w:rPr>
          <w:rFonts w:ascii="Arial" w:cs="Arial" w:eastAsia="Arial" w:hAnsi="Arial"/>
          <w:sz w:val="18"/>
          <w:szCs w:val="18"/>
          <w:color w:val="auto"/>
        </w:rPr>
      </w:pPr>
    </w:p>
    <w:p>
      <w:pPr>
        <w:ind w:right="160" w:firstLine="428"/>
        <w:spacing w:after="0" w:line="273" w:lineRule="auto"/>
        <w:tabs>
          <w:tab w:leader="none" w:pos="668"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Filings, Consents and Approvals</w:t>
      </w:r>
      <w:r>
        <w:rPr>
          <w:rFonts w:ascii="Arial" w:cs="Arial" w:eastAsia="Arial" w:hAnsi="Arial"/>
          <w:sz w:val="17"/>
          <w:szCs w:val="17"/>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for trading thereon in the time and manner required thereby, and (iv) such filings as are required to be made under applicable state securities laws (collectively, the “</w:t>
      </w:r>
      <w:r>
        <w:rPr>
          <w:rFonts w:ascii="Arial" w:cs="Arial" w:eastAsia="Arial" w:hAnsi="Arial"/>
          <w:sz w:val="17"/>
          <w:szCs w:val="17"/>
          <w:u w:val="single" w:color="auto"/>
          <w:color w:val="auto"/>
        </w:rPr>
        <w:t>Required Approvals</w:t>
      </w:r>
      <w:r>
        <w:rPr>
          <w:rFonts w:ascii="Arial" w:cs="Arial" w:eastAsia="Arial" w:hAnsi="Arial"/>
          <w:sz w:val="17"/>
          <w:szCs w:val="17"/>
          <w:color w:val="auto"/>
        </w:rPr>
        <w:t>”).</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880" w:top="274" w:right="439" w:bottom="1440" w:gutter="0" w:footer="0" w:header="0"/>
        </w:sectPr>
      </w:pPr>
    </w:p>
    <w:bookmarkStart w:id="13" w:name="page14"/>
    <w:bookmarkEnd w:id="13"/>
    <w:p>
      <w:pPr>
        <w:ind w:firstLine="428"/>
        <w:spacing w:after="0" w:line="285" w:lineRule="auto"/>
        <w:tabs>
          <w:tab w:leader="none" w:pos="648"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Issuance of the Shares; Registration</w:t>
      </w:r>
      <w:r>
        <w:rPr>
          <w:rFonts w:ascii="Arial" w:cs="Arial" w:eastAsia="Arial" w:hAnsi="Arial"/>
          <w:sz w:val="16"/>
          <w:szCs w:val="16"/>
          <w:color w:val="auto"/>
        </w:rPr>
        <w:t>. The Shares are duly authorized and, when issued and paid for in accordance with the applicable Transaction Documents, will be duly and validly issued, fully paid and nonassessable, free and clear of all Liens imposed by the Company. The Company has reserved from its duly authorized capital stock the maximum number of shares of Common Stock issuable pursuant to this Agreement. The Company has prepared and filed the Registration Statement in conformity with the requirements of the Securities Act, which became effective on July 29, 2019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including the Prospectus, and such amendments and supplements thereto as may have been required to the date of this Agreement. The Company was at the time of the filing of the Registration Statement eligible to use Form S-3. The Company is eligible to use Form S-3 under the Securities Act and it meets the transaction requirements as set forth in General Instruction I.B.1 of Form S-3.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(i) sale of the Shares has been registered on and the Shares will be issued pursuant to the Registration Statement, (ii) the Shares shall be issued free of restrictive legends and (iii) the Shares shall be freely tradeable on the Nasdaq Global Market.</w:t>
      </w:r>
    </w:p>
    <w:p>
      <w:pPr>
        <w:spacing w:after="0" w:line="60" w:lineRule="exact"/>
        <w:rPr>
          <w:rFonts w:ascii="Arial" w:cs="Arial" w:eastAsia="Arial" w:hAnsi="Arial"/>
          <w:sz w:val="16"/>
          <w:szCs w:val="16"/>
          <w:color w:val="auto"/>
        </w:rPr>
      </w:pPr>
    </w:p>
    <w:p>
      <w:pPr>
        <w:ind w:right="80" w:firstLine="428"/>
        <w:spacing w:after="0" w:line="255" w:lineRule="auto"/>
        <w:tabs>
          <w:tab w:leader="none" w:pos="67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 xml:space="preserve">. The capitalization of the Company as of the date hereof is as set forth on </w:t>
      </w:r>
      <w:r>
        <w:rPr>
          <w:rFonts w:ascii="Arial" w:cs="Arial" w:eastAsia="Arial" w:hAnsi="Arial"/>
          <w:sz w:val="18"/>
          <w:szCs w:val="18"/>
          <w:u w:val="single" w:color="auto"/>
          <w:color w:val="auto"/>
        </w:rPr>
        <w:t>Schedule 3.1(g)</w:t>
      </w:r>
      <w:r>
        <w:rPr>
          <w:rFonts w:ascii="Arial" w:cs="Arial" w:eastAsia="Arial" w:hAnsi="Arial"/>
          <w:sz w:val="18"/>
          <w:szCs w:val="18"/>
          <w:color w:val="auto"/>
        </w:rPr>
        <w:t xml:space="preserve">, which </w:t>
      </w:r>
      <w:r>
        <w:rPr>
          <w:rFonts w:ascii="Arial" w:cs="Arial" w:eastAsia="Arial" w:hAnsi="Arial"/>
          <w:sz w:val="18"/>
          <w:szCs w:val="18"/>
          <w:u w:val="single" w:color="auto"/>
          <w:color w:val="auto"/>
        </w:rPr>
        <w:t>Schedule 3.1(g)</w:t>
      </w:r>
      <w:r>
        <w:rPr>
          <w:rFonts w:ascii="Arial" w:cs="Arial" w:eastAsia="Arial" w:hAnsi="Arial"/>
          <w:sz w:val="18"/>
          <w:szCs w:val="18"/>
          <w:color w:val="auto"/>
        </w:rPr>
        <w:t xml:space="preserve"> shall also include the number of shares of Common Stock owned beneficially, and of record, by Affiliates of the Company as of the date hereof.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w:t>
      </w:r>
    </w:p>
    <w:p>
      <w:pPr>
        <w:spacing w:after="0" w:line="12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80" w:top="274" w:right="439" w:bottom="1440" w:gutter="0" w:footer="0" w:header="0"/>
        </w:sectPr>
      </w:pPr>
    </w:p>
    <w:bookmarkStart w:id="14" w:name="page15"/>
    <w:bookmarkEnd w:id="14"/>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Act. No Person has any right of first refusal, preemptive right, right of participation, or any similar right to participate in the transactions contemplated by the Transaction Documents. Except as set forth in the SEC Reports and as a result of the purchase and sale of the Shares,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Except for the Required Approvals,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65" w:lineRule="exact"/>
        <w:rPr>
          <w:sz w:val="20"/>
          <w:szCs w:val="20"/>
          <w:color w:val="auto"/>
        </w:rPr>
      </w:pPr>
    </w:p>
    <w:p>
      <w:pPr>
        <w:ind w:firstLine="428"/>
        <w:spacing w:after="0" w:line="288" w:lineRule="auto"/>
        <w:tabs>
          <w:tab w:leader="none" w:pos="678"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880" w:top="274" w:right="439" w:bottom="1440" w:gutter="0" w:footer="0" w:header="0"/>
        </w:sectPr>
      </w:pPr>
    </w:p>
    <w:bookmarkStart w:id="15" w:name="page16"/>
    <w:bookmarkEnd w:id="15"/>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8"/>
          <w:szCs w:val="18"/>
          <w:u w:val="single" w:color="auto"/>
          <w:color w:val="auto"/>
        </w:rPr>
        <w:t>GAAP</w:t>
      </w:r>
      <w:r>
        <w:rPr>
          <w:rFonts w:ascii="Arial" w:cs="Arial" w:eastAsia="Arial" w:hAnsi="Arial"/>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81" w:lineRule="exact"/>
        <w:rPr>
          <w:sz w:val="20"/>
          <w:szCs w:val="20"/>
          <w:color w:val="auto"/>
        </w:rPr>
      </w:pPr>
    </w:p>
    <w:p>
      <w:pPr>
        <w:ind w:firstLine="428"/>
        <w:spacing w:after="0" w:line="288" w:lineRule="auto"/>
        <w:tabs>
          <w:tab w:leader="none" w:pos="638"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Since the date of the latest audited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w:t>
      </w:r>
    </w:p>
    <w:p>
      <w:pPr>
        <w:ind w:firstLine="4"/>
        <w:spacing w:after="0" w:line="268" w:lineRule="auto"/>
        <w:tabs>
          <w:tab w:leader="none" w:pos="2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prior to time that this representation is made.</w:t>
      </w:r>
    </w:p>
    <w:p>
      <w:pPr>
        <w:spacing w:after="0" w:line="71" w:lineRule="exact"/>
        <w:rPr>
          <w:rFonts w:ascii="Arial" w:cs="Arial" w:eastAsia="Arial" w:hAnsi="Arial"/>
          <w:sz w:val="17"/>
          <w:szCs w:val="17"/>
          <w:color w:val="auto"/>
        </w:rPr>
      </w:pPr>
    </w:p>
    <w:p>
      <w:pPr>
        <w:ind w:firstLine="428"/>
        <w:spacing w:after="0" w:line="253" w:lineRule="auto"/>
        <w:tabs>
          <w:tab w:leader="none" w:pos="638"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8"/>
          <w:szCs w:val="18"/>
          <w:u w:val="single" w:color="auto"/>
          <w:color w:val="auto"/>
        </w:rPr>
        <w:t>Action</w:t>
      </w:r>
      <w:r>
        <w:rPr>
          <w:rFonts w:ascii="Arial" w:cs="Arial" w:eastAsia="Arial" w:hAnsi="Arial"/>
          <w:sz w:val="18"/>
          <w:szCs w:val="18"/>
          <w:color w:val="auto"/>
        </w:rPr>
        <w:t>”) which (i) adversely affects or challenges the legality, validity or enforceability of any of the Transaction Documents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80" w:top="274" w:right="439" w:bottom="1440" w:gutter="0" w:footer="0" w:header="0"/>
        </w:sectPr>
      </w:pPr>
    </w:p>
    <w:bookmarkStart w:id="16" w:name="page17"/>
    <w:bookmarkEnd w:id="16"/>
    <w:p>
      <w:pPr>
        <w:ind w:right="140" w:firstLine="428"/>
        <w:spacing w:after="0" w:line="287" w:lineRule="auto"/>
        <w:tabs>
          <w:tab w:leader="none" w:pos="67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Labor Relations</w:t>
      </w:r>
      <w:r>
        <w:rPr>
          <w:rFonts w:ascii="Arial" w:cs="Arial" w:eastAsia="Arial" w:hAnsi="Arial"/>
          <w:sz w:val="16"/>
          <w:szCs w:val="16"/>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64" w:lineRule="exact"/>
        <w:rPr>
          <w:rFonts w:ascii="Arial" w:cs="Arial" w:eastAsia="Arial" w:hAnsi="Arial"/>
          <w:sz w:val="16"/>
          <w:szCs w:val="16"/>
          <w:color w:val="auto"/>
        </w:rPr>
      </w:pPr>
    </w:p>
    <w:p>
      <w:pPr>
        <w:ind w:firstLine="428"/>
        <w:spacing w:after="0" w:line="290" w:lineRule="auto"/>
        <w:tabs>
          <w:tab w:leader="none" w:pos="63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58" w:lineRule="exact"/>
        <w:rPr>
          <w:rFonts w:ascii="Arial" w:cs="Arial" w:eastAsia="Arial" w:hAnsi="Arial"/>
          <w:sz w:val="16"/>
          <w:szCs w:val="16"/>
          <w:color w:val="auto"/>
        </w:rPr>
      </w:pPr>
    </w:p>
    <w:p>
      <w:pPr>
        <w:ind w:firstLine="428"/>
        <w:spacing w:after="0" w:line="293" w:lineRule="auto"/>
        <w:tabs>
          <w:tab w:leader="none" w:pos="72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w:t>
      </w:r>
    </w:p>
    <w:p>
      <w:pPr>
        <w:spacing w:after="0" w:line="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880" w:top="274" w:right="439" w:bottom="1440" w:gutter="0" w:footer="0" w:header="0"/>
        </w:sectPr>
      </w:pPr>
    </w:p>
    <w:bookmarkStart w:id="17" w:name="page18"/>
    <w:bookmarkEnd w:id="17"/>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promulgated or approved thereunder (“</w:t>
      </w:r>
      <w:r>
        <w:rPr>
          <w:rFonts w:ascii="Arial" w:cs="Arial" w:eastAsia="Arial" w:hAnsi="Arial"/>
          <w:sz w:val="18"/>
          <w:szCs w:val="18"/>
          <w:u w:val="single" w:color="auto"/>
          <w:color w:val="auto"/>
        </w:rPr>
        <w:t>Environmental Laws</w:t>
      </w:r>
      <w:r>
        <w:rPr>
          <w:rFonts w:ascii="Arial" w:cs="Arial" w:eastAsia="Arial" w:hAnsi="Arial"/>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79" w:lineRule="exact"/>
        <w:rPr>
          <w:sz w:val="20"/>
          <w:szCs w:val="20"/>
          <w:color w:val="auto"/>
        </w:rPr>
      </w:pPr>
    </w:p>
    <w:p>
      <w:pPr>
        <w:jc w:val="both"/>
        <w:ind w:right="40" w:firstLine="428"/>
        <w:spacing w:after="0" w:line="302" w:lineRule="auto"/>
        <w:tabs>
          <w:tab w:leader="none" w:pos="678"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notice of proceedings relating to the revocation or modification of any Material Permit.</w:t>
      </w:r>
    </w:p>
    <w:p>
      <w:pPr>
        <w:spacing w:after="0" w:line="46" w:lineRule="exact"/>
        <w:rPr>
          <w:rFonts w:ascii="Arial" w:cs="Arial" w:eastAsia="Arial" w:hAnsi="Arial"/>
          <w:sz w:val="16"/>
          <w:szCs w:val="16"/>
          <w:color w:val="auto"/>
        </w:rPr>
      </w:pPr>
    </w:p>
    <w:p>
      <w:pPr>
        <w:ind w:right="80" w:firstLine="428"/>
        <w:spacing w:after="0" w:line="271" w:lineRule="auto"/>
        <w:tabs>
          <w:tab w:leader="none" w:pos="678"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Title to Assets</w:t>
      </w:r>
      <w:r>
        <w:rPr>
          <w:rFonts w:ascii="Arial" w:cs="Arial" w:eastAsia="Arial" w:hAnsi="Arial"/>
          <w:sz w:val="17"/>
          <w:szCs w:val="17"/>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except where the failure to be in compliance would not reasonably be expected to have a Material Adverse Effect.</w:t>
      </w:r>
    </w:p>
    <w:p>
      <w:pPr>
        <w:spacing w:after="0" w:line="70" w:lineRule="exact"/>
        <w:rPr>
          <w:rFonts w:ascii="Arial" w:cs="Arial" w:eastAsia="Arial" w:hAnsi="Arial"/>
          <w:sz w:val="17"/>
          <w:szCs w:val="17"/>
          <w:color w:val="auto"/>
        </w:rPr>
      </w:pPr>
    </w:p>
    <w:p>
      <w:pPr>
        <w:ind w:firstLine="428"/>
        <w:spacing w:after="0" w:line="287" w:lineRule="auto"/>
        <w:tabs>
          <w:tab w:leader="none" w:pos="678"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0"/>
          </w:cols>
          <w:pgMar w:left="880" w:top="274" w:right="439" w:bottom="1440" w:gutter="0" w:footer="0" w:header="0"/>
        </w:sectPr>
      </w:pPr>
    </w:p>
    <w:bookmarkStart w:id="18" w:name="page19"/>
    <w:bookmarkEnd w:id="18"/>
    <w:p>
      <w:pPr>
        <w:jc w:val="both"/>
        <w:ind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 could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spacing w:after="0" w:line="39" w:lineRule="exact"/>
        <w:rPr>
          <w:sz w:val="20"/>
          <w:szCs w:val="20"/>
          <w:color w:val="auto"/>
        </w:rPr>
      </w:pPr>
    </w:p>
    <w:p>
      <w:pPr>
        <w:ind w:right="20" w:firstLine="428"/>
        <w:spacing w:after="0" w:line="297" w:lineRule="auto"/>
        <w:tabs>
          <w:tab w:leader="none" w:pos="678"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50" w:lineRule="exact"/>
        <w:rPr>
          <w:rFonts w:ascii="Arial" w:cs="Arial" w:eastAsia="Arial" w:hAnsi="Arial"/>
          <w:sz w:val="16"/>
          <w:szCs w:val="16"/>
          <w:color w:val="auto"/>
        </w:rPr>
      </w:pPr>
    </w:p>
    <w:p>
      <w:pPr>
        <w:ind w:firstLine="428"/>
        <w:spacing w:after="0" w:line="270" w:lineRule="auto"/>
        <w:tabs>
          <w:tab w:leader="none" w:pos="648"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 and Employees</w:t>
      </w:r>
      <w:r>
        <w:rPr>
          <w:rFonts w:ascii="Arial" w:cs="Arial" w:eastAsia="Arial" w:hAnsi="Arial"/>
          <w:sz w:val="17"/>
          <w:szCs w:val="17"/>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73" w:lineRule="exact"/>
        <w:rPr>
          <w:rFonts w:ascii="Arial" w:cs="Arial" w:eastAsia="Arial" w:hAnsi="Arial"/>
          <w:sz w:val="17"/>
          <w:szCs w:val="17"/>
          <w:color w:val="auto"/>
        </w:rPr>
      </w:pPr>
    </w:p>
    <w:p>
      <w:pPr>
        <w:ind w:right="60" w:firstLine="428"/>
        <w:spacing w:after="0" w:line="288" w:lineRule="auto"/>
        <w:tabs>
          <w:tab w:leader="none" w:pos="658"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Sarbanes-Oxley; Internal Accounting Controls</w:t>
      </w:r>
      <w:r>
        <w:rPr>
          <w:rFonts w:ascii="Arial" w:cs="Arial" w:eastAsia="Arial" w:hAnsi="Arial"/>
          <w:sz w:val="16"/>
          <w:szCs w:val="16"/>
          <w:color w:val="auto"/>
        </w:rPr>
        <w:t>.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880" w:top="274" w:right="439" w:bottom="1440" w:gutter="0" w:footer="0" w:header="0"/>
        </w:sectPr>
      </w:pPr>
    </w:p>
    <w:bookmarkStart w:id="19" w:name="page20"/>
    <w:bookmarkEnd w:id="19"/>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8"/>
          <w:szCs w:val="18"/>
          <w:u w:val="single" w:color="auto"/>
          <w:color w:val="auto"/>
        </w:rPr>
        <w:t>Evaluation Date</w:t>
      </w:r>
      <w:r>
        <w:rPr>
          <w:rFonts w:ascii="Arial" w:cs="Arial" w:eastAsia="Arial" w:hAnsi="Arial"/>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84" w:lineRule="exact"/>
        <w:rPr>
          <w:sz w:val="20"/>
          <w:szCs w:val="20"/>
          <w:color w:val="auto"/>
        </w:rPr>
      </w:pPr>
    </w:p>
    <w:p>
      <w:pPr>
        <w:ind w:right="160" w:firstLine="428"/>
        <w:spacing w:after="0" w:line="257" w:lineRule="auto"/>
        <w:tabs>
          <w:tab w:leader="none" w:pos="63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Except as set forth in the Prospectus Supplement,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80" w:lineRule="exact"/>
        <w:rPr>
          <w:rFonts w:ascii="Arial" w:cs="Arial" w:eastAsia="Arial" w:hAnsi="Arial"/>
          <w:sz w:val="18"/>
          <w:szCs w:val="18"/>
          <w:color w:val="auto"/>
        </w:rPr>
      </w:pPr>
    </w:p>
    <w:p>
      <w:pPr>
        <w:jc w:val="both"/>
        <w:ind w:right="20" w:firstLine="428"/>
        <w:spacing w:after="0" w:line="259" w:lineRule="auto"/>
        <w:tabs>
          <w:tab w:leader="none" w:pos="67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78" w:lineRule="exact"/>
        <w:rPr>
          <w:rFonts w:ascii="Arial" w:cs="Arial" w:eastAsia="Arial" w:hAnsi="Arial"/>
          <w:sz w:val="18"/>
          <w:szCs w:val="18"/>
          <w:color w:val="auto"/>
        </w:rPr>
      </w:pPr>
    </w:p>
    <w:p>
      <w:pPr>
        <w:ind w:firstLine="428"/>
        <w:spacing w:after="0" w:line="277" w:lineRule="auto"/>
        <w:tabs>
          <w:tab w:leader="none" w:pos="67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Except as set forth in the SEC Reports, no Person has any right to cause the Company or any Subsidiary to effect the registration under the Securities Act of any securities of the Company or any Subsidiary.</w:t>
      </w:r>
    </w:p>
    <w:p>
      <w:pPr>
        <w:spacing w:after="0" w:line="62" w:lineRule="exact"/>
        <w:rPr>
          <w:rFonts w:ascii="Arial" w:cs="Arial" w:eastAsia="Arial" w:hAnsi="Arial"/>
          <w:sz w:val="18"/>
          <w:szCs w:val="18"/>
          <w:color w:val="auto"/>
        </w:rPr>
      </w:pPr>
    </w:p>
    <w:p>
      <w:pPr>
        <w:ind w:firstLine="428"/>
        <w:spacing w:after="0" w:line="270" w:lineRule="auto"/>
        <w:tabs>
          <w:tab w:leader="none" w:pos="718"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Listing and Maintenance Requirements</w:t>
      </w:r>
      <w:r>
        <w:rPr>
          <w:rFonts w:ascii="Arial" w:cs="Arial" w:eastAsia="Arial" w:hAnsi="Arial"/>
          <w:sz w:val="17"/>
          <w:szCs w:val="17"/>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20" w:name="page21"/>
    <w:bookmarkEnd w:id="20"/>
    <w:p>
      <w:pPr>
        <w:ind w:right="60" w:firstLine="428"/>
        <w:spacing w:after="0" w:line="255" w:lineRule="auto"/>
        <w:tabs>
          <w:tab w:leader="none" w:pos="67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Shares and the Purchasers’ ownership of the Shares.</w:t>
      </w:r>
    </w:p>
    <w:p>
      <w:pPr>
        <w:spacing w:after="0" w:line="85" w:lineRule="exact"/>
        <w:rPr>
          <w:rFonts w:ascii="Arial" w:cs="Arial" w:eastAsia="Arial" w:hAnsi="Arial"/>
          <w:sz w:val="18"/>
          <w:szCs w:val="18"/>
          <w:color w:val="auto"/>
        </w:rPr>
      </w:pPr>
    </w:p>
    <w:p>
      <w:pPr>
        <w:ind w:firstLine="428"/>
        <w:spacing w:after="0" w:line="268" w:lineRule="auto"/>
        <w:tabs>
          <w:tab w:leader="none" w:pos="678"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with the Company’s SEC Reports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79" w:lineRule="exact"/>
        <w:rPr>
          <w:rFonts w:ascii="Arial" w:cs="Arial" w:eastAsia="Arial" w:hAnsi="Arial"/>
          <w:sz w:val="17"/>
          <w:szCs w:val="17"/>
          <w:color w:val="auto"/>
        </w:rPr>
      </w:pPr>
    </w:p>
    <w:p>
      <w:pPr>
        <w:ind w:right="20" w:firstLine="428"/>
        <w:spacing w:after="0" w:line="257" w:lineRule="auto"/>
        <w:tabs>
          <w:tab w:leader="none" w:pos="66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any applicable shareholder approval provisions of any Trading Market on which any of the securities of the Company are listed or designated.</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0"/>
          </w:cols>
          <w:pgMar w:left="880" w:top="274" w:right="439" w:bottom="1440" w:gutter="0" w:footer="0" w:header="0"/>
        </w:sectPr>
      </w:pPr>
    </w:p>
    <w:bookmarkStart w:id="21" w:name="page22"/>
    <w:bookmarkEnd w:id="21"/>
    <w:p>
      <w:pPr>
        <w:ind w:right="20" w:firstLine="428"/>
        <w:spacing w:after="0" w:line="288" w:lineRule="auto"/>
        <w:tabs>
          <w:tab w:leader="none" w:pos="748"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Solvency</w:t>
      </w:r>
      <w:r>
        <w:rPr>
          <w:rFonts w:ascii="Arial" w:cs="Arial" w:eastAsia="Arial" w:hAnsi="Arial"/>
          <w:sz w:val="16"/>
          <w:szCs w:val="16"/>
          <w:color w:val="auto"/>
        </w:rPr>
        <w:t>. Based on the consolidated financial condition of the Company as of the Closing Date, after giving effect to the receipt by the Company of the proceeds from the sale of the Shares hereunder, (i) the fair saleable value of the Company’s assets exceeds the amount that will be required to be paid on or in respect of the Company’s existing debts and other liabilities (including known contingent liabilities) as they mature,</w:t>
      </w:r>
    </w:p>
    <w:p>
      <w:pPr>
        <w:ind w:firstLine="4"/>
        <w:spacing w:after="0" w:line="284" w:lineRule="auto"/>
        <w:tabs>
          <w:tab w:leader="none" w:pos="2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thereof all outstanding secured and unsecured Indebtedness of the Company or any Subsidiary, or for which the Company or any Subsidiary has commitments. For the purposes of this Agreement, “</w:t>
      </w:r>
      <w:r>
        <w:rPr>
          <w:rFonts w:ascii="Arial" w:cs="Arial" w:eastAsia="Arial" w:hAnsi="Arial"/>
          <w:sz w:val="16"/>
          <w:szCs w:val="16"/>
          <w:u w:val="single" w:color="auto"/>
          <w:color w:val="auto"/>
        </w:rPr>
        <w:t>Indebtedness</w:t>
      </w:r>
      <w:r>
        <w:rPr>
          <w:rFonts w:ascii="Arial" w:cs="Arial" w:eastAsia="Arial" w:hAnsi="Arial"/>
          <w:sz w:val="16"/>
          <w:szCs w:val="16"/>
          <w:color w:val="auto"/>
        </w:rPr>
        <w:t>” means (x) any liabilities for borrowed money or amounts owed in excess of $100,000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$100,000 due under leases required to be capitalized in accordance with GAAP. Neither the Company nor any Subsidiary is in default with respect to any Indebtedness.</w:t>
      </w:r>
    </w:p>
    <w:p>
      <w:pPr>
        <w:spacing w:after="0" w:line="69" w:lineRule="exact"/>
        <w:rPr>
          <w:rFonts w:ascii="Arial" w:cs="Arial" w:eastAsia="Arial" w:hAnsi="Arial"/>
          <w:sz w:val="16"/>
          <w:szCs w:val="16"/>
          <w:color w:val="auto"/>
        </w:rPr>
      </w:pPr>
    </w:p>
    <w:p>
      <w:pPr>
        <w:ind w:right="220" w:firstLine="428"/>
        <w:spacing w:after="0" w:line="305" w:lineRule="auto"/>
        <w:tabs>
          <w:tab w:leader="none" w:pos="768" w:val="left"/>
        </w:tabs>
        <w:numPr>
          <w:ilvl w:val="1"/>
          <w:numId w:val="19"/>
        </w:numPr>
        <w:rPr>
          <w:rFonts w:ascii="Arial" w:cs="Arial" w:eastAsia="Arial" w:hAnsi="Arial"/>
          <w:sz w:val="15"/>
          <w:szCs w:val="15"/>
          <w:color w:val="auto"/>
        </w:rPr>
      </w:pPr>
      <w:r>
        <w:rPr>
          <w:rFonts w:ascii="Arial" w:cs="Arial" w:eastAsia="Arial" w:hAnsi="Arial"/>
          <w:sz w:val="15"/>
          <w:szCs w:val="15"/>
          <w:u w:val="single" w:color="auto"/>
          <w:color w:val="auto"/>
        </w:rPr>
        <w:t>Tax Status</w:t>
      </w:r>
      <w:r>
        <w:rPr>
          <w:rFonts w:ascii="Arial" w:cs="Arial" w:eastAsia="Arial" w:hAnsi="Arial"/>
          <w:sz w:val="15"/>
          <w:szCs w:val="15"/>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1" w:lineRule="exact"/>
        <w:rPr>
          <w:rFonts w:ascii="Arial" w:cs="Arial" w:eastAsia="Arial" w:hAnsi="Arial"/>
          <w:sz w:val="15"/>
          <w:szCs w:val="15"/>
          <w:color w:val="auto"/>
        </w:rPr>
      </w:pPr>
    </w:p>
    <w:p>
      <w:pPr>
        <w:ind w:right="180" w:firstLine="4"/>
        <w:spacing w:after="0" w:line="277" w:lineRule="auto"/>
        <w:tabs>
          <w:tab w:leader="none" w:pos="3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65" w:lineRule="exact"/>
        <w:rPr>
          <w:rFonts w:ascii="Arial" w:cs="Arial" w:eastAsia="Arial" w:hAnsi="Arial"/>
          <w:sz w:val="17"/>
          <w:szCs w:val="17"/>
          <w:color w:val="auto"/>
        </w:rPr>
      </w:pPr>
    </w:p>
    <w:p>
      <w:pPr>
        <w:ind w:right="20" w:firstLine="428"/>
        <w:spacing w:after="0" w:line="273" w:lineRule="auto"/>
        <w:tabs>
          <w:tab w:leader="none" w:pos="748"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80"/>
          </w:cols>
          <w:pgMar w:left="880" w:top="274" w:right="439" w:bottom="1440" w:gutter="0" w:footer="0" w:header="0"/>
        </w:sectPr>
      </w:pPr>
    </w:p>
    <w:bookmarkStart w:id="22" w:name="page23"/>
    <w:bookmarkEnd w:id="22"/>
    <w:p>
      <w:pPr>
        <w:ind w:right="20" w:firstLine="428"/>
        <w:spacing w:after="0" w:line="312" w:lineRule="auto"/>
        <w:tabs>
          <w:tab w:leader="none" w:pos="768"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Accountants</w:t>
      </w:r>
      <w:r>
        <w:rPr>
          <w:rFonts w:ascii="Arial" w:cs="Arial" w:eastAsia="Arial" w:hAnsi="Arial"/>
          <w:sz w:val="16"/>
          <w:szCs w:val="16"/>
          <w:color w:val="auto"/>
        </w:rPr>
        <w:t>. The Company’s independent registered public accounting firm is Ernst &amp; Young LLP.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2019.</w:t>
      </w:r>
    </w:p>
    <w:p>
      <w:pPr>
        <w:spacing w:after="0" w:line="38" w:lineRule="exact"/>
        <w:rPr>
          <w:rFonts w:ascii="Arial" w:cs="Arial" w:eastAsia="Arial" w:hAnsi="Arial"/>
          <w:sz w:val="16"/>
          <w:szCs w:val="16"/>
          <w:color w:val="auto"/>
        </w:rPr>
      </w:pPr>
    </w:p>
    <w:p>
      <w:pPr>
        <w:ind w:right="20" w:firstLine="428"/>
        <w:spacing w:after="0" w:line="271" w:lineRule="auto"/>
        <w:tabs>
          <w:tab w:leader="none" w:pos="748"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Purchase of Shares</w:t>
      </w:r>
      <w:r>
        <w:rPr>
          <w:rFonts w:ascii="Arial" w:cs="Arial" w:eastAsia="Arial" w:hAnsi="Arial"/>
          <w:sz w:val="17"/>
          <w:szCs w:val="17"/>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70" w:lineRule="exact"/>
        <w:rPr>
          <w:rFonts w:ascii="Arial" w:cs="Arial" w:eastAsia="Arial" w:hAnsi="Arial"/>
          <w:sz w:val="17"/>
          <w:szCs w:val="17"/>
          <w:color w:val="auto"/>
        </w:rPr>
      </w:pPr>
    </w:p>
    <w:p>
      <w:pPr>
        <w:ind w:firstLine="428"/>
        <w:spacing w:after="0" w:line="268" w:lineRule="auto"/>
        <w:tabs>
          <w:tab w:leader="none" w:pos="70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Trading Activity</w:t>
      </w:r>
      <w:r>
        <w:rPr>
          <w:rFonts w:ascii="Arial" w:cs="Arial" w:eastAsia="Arial" w:hAnsi="Arial"/>
          <w:sz w:val="17"/>
          <w:szCs w:val="17"/>
          <w:color w:val="auto"/>
        </w:rPr>
        <w:t>. Anything in this Agreement or elsewhere herein to the contrary notwithstanding (except for Sections 3.2(e)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Shares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2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20"/>
          </w:cols>
          <w:pgMar w:left="880" w:top="274" w:right="499" w:bottom="1440" w:gutter="0" w:footer="0" w:header="0"/>
        </w:sectPr>
      </w:pPr>
    </w:p>
    <w:bookmarkStart w:id="23" w:name="page24"/>
    <w:bookmarkEnd w:id="23"/>
    <w:p>
      <w:pPr>
        <w:ind w:right="80" w:firstLine="428"/>
        <w:spacing w:after="0" w:line="297" w:lineRule="auto"/>
        <w:tabs>
          <w:tab w:leader="none" w:pos="768"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Regulation M Compliance</w:t>
      </w:r>
      <w:r>
        <w:rPr>
          <w:rFonts w:ascii="Arial" w:cs="Arial" w:eastAsia="Arial" w:hAnsi="Arial"/>
          <w:sz w:val="16"/>
          <w:szCs w:val="16"/>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Company’s placement agent in connection with the placement of the Shares.</w:t>
      </w:r>
    </w:p>
    <w:p>
      <w:pPr>
        <w:spacing w:after="0" w:line="50" w:lineRule="exact"/>
        <w:rPr>
          <w:rFonts w:ascii="Arial" w:cs="Arial" w:eastAsia="Arial" w:hAnsi="Arial"/>
          <w:sz w:val="16"/>
          <w:szCs w:val="16"/>
          <w:color w:val="auto"/>
        </w:rPr>
      </w:pPr>
    </w:p>
    <w:p>
      <w:pPr>
        <w:ind w:right="40" w:firstLine="428"/>
        <w:spacing w:after="0" w:line="283" w:lineRule="auto"/>
        <w:tabs>
          <w:tab w:leader="none" w:pos="768"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FDA</w:t>
      </w:r>
      <w:r>
        <w:rPr>
          <w:rFonts w:ascii="Arial" w:cs="Arial" w:eastAsia="Arial" w:hAnsi="Arial"/>
          <w:sz w:val="16"/>
          <w:szCs w:val="16"/>
          <w:color w:val="auto"/>
        </w:rPr>
        <w:t>. As to each product subject to the jurisdiction of the U.S.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under the Federal Food, Drug and Cosmetic Act, as amended, and the regulations thereunder (“</w:t>
      </w:r>
      <w:r>
        <w:rPr>
          <w:rFonts w:ascii="Arial" w:cs="Arial" w:eastAsia="Arial" w:hAnsi="Arial"/>
          <w:sz w:val="16"/>
          <w:szCs w:val="16"/>
          <w:u w:val="single" w:color="auto"/>
          <w:color w:val="auto"/>
        </w:rPr>
        <w:t>FDCA</w:t>
      </w:r>
      <w:r>
        <w:rPr>
          <w:rFonts w:ascii="Arial" w:cs="Arial" w:eastAsia="Arial" w:hAnsi="Arial"/>
          <w:sz w:val="16"/>
          <w:szCs w:val="16"/>
          <w:color w:val="auto"/>
        </w:rPr>
        <w:t>”) that is manufactured, packaged, labeled, tested, distributed, sold, and/or marketed by the Company or any of its Subsidiaries (each such product, a “</w:t>
      </w:r>
      <w:r>
        <w:rPr>
          <w:rFonts w:ascii="Arial" w:cs="Arial" w:eastAsia="Arial" w:hAnsi="Arial"/>
          <w:sz w:val="16"/>
          <w:szCs w:val="16"/>
          <w:u w:val="single" w:color="auto"/>
          <w:color w:val="auto"/>
        </w:rPr>
        <w:t>Pharmaceutical Product</w:t>
      </w:r>
      <w:r>
        <w:rPr>
          <w:rFonts w:ascii="Arial" w:cs="Arial" w:eastAsia="Arial" w:hAnsi="Arial"/>
          <w:sz w:val="16"/>
          <w:szCs w:val="16"/>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w:t>
      </w:r>
    </w:p>
    <w:p>
      <w:pPr>
        <w:spacing w:after="0" w:line="2" w:lineRule="exact"/>
        <w:rPr>
          <w:rFonts w:ascii="Arial" w:cs="Arial" w:eastAsia="Arial" w:hAnsi="Arial"/>
          <w:sz w:val="16"/>
          <w:szCs w:val="16"/>
          <w:color w:val="auto"/>
        </w:rPr>
      </w:pPr>
    </w:p>
    <w:p>
      <w:pPr>
        <w:ind w:firstLine="4"/>
        <w:spacing w:after="0" w:line="252"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0"/>
          </w:cols>
          <w:pgMar w:left="880" w:top="274" w:right="459" w:bottom="1440" w:gutter="0" w:footer="0" w:header="0"/>
        </w:sectPr>
      </w:pPr>
    </w:p>
    <w:bookmarkStart w:id="24" w:name="page25"/>
    <w:bookmarkEnd w:id="24"/>
    <w:p>
      <w:pPr>
        <w:ind w:left="440" w:right="160" w:firstLine="428"/>
        <w:spacing w:after="0" w:line="293" w:lineRule="auto"/>
        <w:tabs>
          <w:tab w:leader="none" w:pos="1128"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 Plans</w:t>
      </w:r>
      <w:r>
        <w:rPr>
          <w:rFonts w:ascii="Arial" w:cs="Arial" w:eastAsia="Arial" w:hAnsi="Arial"/>
          <w:sz w:val="16"/>
          <w:szCs w:val="16"/>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56" w:lineRule="exact"/>
        <w:rPr>
          <w:rFonts w:ascii="Arial" w:cs="Arial" w:eastAsia="Arial" w:hAnsi="Arial"/>
          <w:sz w:val="16"/>
          <w:szCs w:val="16"/>
          <w:color w:val="auto"/>
        </w:rPr>
      </w:pPr>
    </w:p>
    <w:p>
      <w:pPr>
        <w:ind w:left="440" w:right="300" w:firstLine="428"/>
        <w:spacing w:after="0" w:line="264" w:lineRule="auto"/>
        <w:tabs>
          <w:tab w:leader="none" w:pos="112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440" w:right="200" w:firstLine="428"/>
        <w:spacing w:after="0" w:line="342" w:lineRule="auto"/>
        <w:tabs>
          <w:tab w:leader="none" w:pos="1208"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U.S. Real Property Holding Corporation</w:t>
      </w:r>
      <w:r>
        <w:rPr>
          <w:rFonts w:ascii="Arial" w:cs="Arial" w:eastAsia="Arial" w:hAnsi="Arial"/>
          <w:sz w:val="16"/>
          <w:szCs w:val="16"/>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5" w:lineRule="exact"/>
        <w:rPr>
          <w:rFonts w:ascii="Arial" w:cs="Arial" w:eastAsia="Arial" w:hAnsi="Arial"/>
          <w:sz w:val="16"/>
          <w:szCs w:val="16"/>
          <w:color w:val="auto"/>
        </w:rPr>
      </w:pPr>
    </w:p>
    <w:p>
      <w:pPr>
        <w:ind w:left="440" w:right="40" w:firstLine="428"/>
        <w:spacing w:after="0" w:line="293" w:lineRule="auto"/>
        <w:tabs>
          <w:tab w:leader="none" w:pos="1128"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Bank Holding Company Act</w:t>
      </w:r>
      <w:r>
        <w:rPr>
          <w:rFonts w:ascii="Arial" w:cs="Arial" w:eastAsia="Arial" w:hAnsi="Arial"/>
          <w:sz w:val="16"/>
          <w:szCs w:val="16"/>
          <w:color w:val="auto"/>
        </w:rPr>
        <w:t>. Neither the Company nor any of its Subsidiaries or Affiliates is subject to the Bank Holding Company Act of 1956, as amended (the “</w:t>
      </w:r>
      <w:r>
        <w:rPr>
          <w:rFonts w:ascii="Arial" w:cs="Arial" w:eastAsia="Arial" w:hAnsi="Arial"/>
          <w:sz w:val="16"/>
          <w:szCs w:val="16"/>
          <w:u w:val="single" w:color="auto"/>
          <w:color w:val="auto"/>
        </w:rPr>
        <w:t>BHCA</w:t>
      </w:r>
      <w:r>
        <w:rPr>
          <w:rFonts w:ascii="Arial" w:cs="Arial" w:eastAsia="Arial" w:hAnsi="Arial"/>
          <w:sz w:val="16"/>
          <w:szCs w:val="16"/>
          <w:color w:val="auto"/>
        </w:rPr>
        <w:t>”) and to regulation by the Board of Governors of the Federal Reserve System (the “</w:t>
      </w:r>
      <w:r>
        <w:rPr>
          <w:rFonts w:ascii="Arial" w:cs="Arial" w:eastAsia="Arial" w:hAnsi="Arial"/>
          <w:sz w:val="16"/>
          <w:szCs w:val="16"/>
          <w:u w:val="single" w:color="auto"/>
          <w:color w:val="auto"/>
        </w:rPr>
        <w:t>Federal Reserve</w:t>
      </w:r>
      <w:r>
        <w:rPr>
          <w:rFonts w:ascii="Arial" w:cs="Arial" w:eastAsia="Arial" w:hAnsi="Arial"/>
          <w:sz w:val="16"/>
          <w:szCs w:val="16"/>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56" w:lineRule="exact"/>
        <w:rPr>
          <w:rFonts w:ascii="Arial" w:cs="Arial" w:eastAsia="Arial" w:hAnsi="Arial"/>
          <w:sz w:val="16"/>
          <w:szCs w:val="16"/>
          <w:color w:val="auto"/>
        </w:rPr>
      </w:pPr>
    </w:p>
    <w:p>
      <w:pPr>
        <w:ind w:left="440" w:firstLine="428"/>
        <w:spacing w:after="0" w:line="297" w:lineRule="auto"/>
        <w:tabs>
          <w:tab w:leader="none" w:pos="1308"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58"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Representations and Warranties of the Purchasers</w:t>
      </w:r>
      <w:r>
        <w:rPr>
          <w:rFonts w:ascii="Arial" w:cs="Arial" w:eastAsia="Arial" w:hAnsi="Arial"/>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73" w:lineRule="exact"/>
        <w:rPr>
          <w:sz w:val="20"/>
          <w:szCs w:val="20"/>
          <w:color w:val="auto"/>
        </w:rPr>
      </w:pPr>
    </w:p>
    <w:p>
      <w:pPr>
        <w:ind w:left="440" w:right="300" w:firstLine="428"/>
        <w:spacing w:after="0" w:line="277" w:lineRule="auto"/>
        <w:tabs>
          <w:tab w:leader="none" w:pos="110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Organization; Authority</w:t>
      </w:r>
      <w:r>
        <w:rPr>
          <w:rFonts w:ascii="Arial" w:cs="Arial" w:eastAsia="Arial" w:hAnsi="Arial"/>
          <w:sz w:val="18"/>
          <w:szCs w:val="18"/>
          <w:color w:val="auto"/>
        </w:rPr>
        <w:t>. Such Purchaser is either an individual or an entity duly incorporated or formed, validly existing and in good standing under the laws of the jurisdiction of its incorporation or formation with full right, corporate, partnership,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5" w:name="page26"/>
    <w:bookmarkEnd w:id="25"/>
    <w:p>
      <w:pPr>
        <w:ind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59" w:lineRule="exact"/>
        <w:rPr>
          <w:sz w:val="20"/>
          <w:szCs w:val="20"/>
          <w:color w:val="auto"/>
        </w:rPr>
      </w:pPr>
    </w:p>
    <w:p>
      <w:pPr>
        <w:ind w:left="680" w:hanging="252"/>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428"/>
        <w:spacing w:after="0" w:line="264" w:lineRule="auto"/>
        <w:tabs>
          <w:tab w:leader="none" w:pos="66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such Purchaser was offered the Shares, it was, and as of the date hereof it is, either: (i) an “accredited investor” as defined in Rule 501(a)(1), (a)(2), (a)(3), (a)(7) or (a)(8) under the Securities Act or (ii) a “qualified institutional buyer” as defined in Rule 144A(a) under the Securities Act.</w:t>
      </w:r>
    </w:p>
    <w:p>
      <w:pPr>
        <w:spacing w:after="0" w:line="73" w:lineRule="exact"/>
        <w:rPr>
          <w:rFonts w:ascii="Arial" w:cs="Arial" w:eastAsia="Arial" w:hAnsi="Arial"/>
          <w:sz w:val="18"/>
          <w:szCs w:val="18"/>
          <w:color w:val="auto"/>
        </w:rPr>
      </w:pPr>
    </w:p>
    <w:p>
      <w:pPr>
        <w:jc w:val="both"/>
        <w:ind w:right="20" w:firstLine="428"/>
        <w:spacing w:after="0" w:line="259" w:lineRule="auto"/>
        <w:tabs>
          <w:tab w:leader="none" w:pos="67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78" w:lineRule="exact"/>
        <w:rPr>
          <w:rFonts w:ascii="Arial" w:cs="Arial" w:eastAsia="Arial" w:hAnsi="Arial"/>
          <w:sz w:val="18"/>
          <w:szCs w:val="18"/>
          <w:color w:val="auto"/>
        </w:rPr>
      </w:pPr>
    </w:p>
    <w:p>
      <w:pPr>
        <w:ind w:firstLine="428"/>
        <w:spacing w:after="0" w:line="287" w:lineRule="auto"/>
        <w:tabs>
          <w:tab w:leader="none" w:pos="668"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Access to Information</w:t>
      </w:r>
      <w:r>
        <w:rPr>
          <w:rFonts w:ascii="Arial" w:cs="Arial" w:eastAsia="Arial" w:hAnsi="Arial"/>
          <w:sz w:val="16"/>
          <w:szCs w:val="16"/>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Shares nor is such information or advice necessary or desired. Neither the Placement Agent nor any Affiliate has made or makes any representation as to the Company or the quality of the Shares and the Placement Agent and any Affiliate may have acquired non-public information with respect to the Company which such Purchaser agrees need not be provided to it. In connection with the issuance of the Shares to such Purchaser, neither the Placement Agent nor any of its Affiliates has acted as a financial advisor or fiduciary to such Purchaser.</w:t>
      </w:r>
    </w:p>
    <w:p>
      <w:pPr>
        <w:spacing w:after="0" w:line="10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20"/>
          </w:cols>
          <w:pgMar w:left="880" w:top="274" w:right="499" w:bottom="1440" w:gutter="0" w:footer="0" w:header="0"/>
        </w:sectPr>
      </w:pPr>
    </w:p>
    <w:bookmarkStart w:id="26" w:name="page27"/>
    <w:bookmarkEnd w:id="26"/>
    <w:p>
      <w:pPr>
        <w:ind w:left="440" w:firstLine="428"/>
        <w:spacing w:after="0" w:line="286" w:lineRule="auto"/>
        <w:tabs>
          <w:tab w:leader="none" w:pos="1088"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Transactions and Confidentiality</w:t>
      </w:r>
      <w:r>
        <w:rPr>
          <w:rFonts w:ascii="Arial" w:cs="Arial" w:eastAsia="Arial" w:hAnsi="Arial"/>
          <w:sz w:val="16"/>
          <w:szCs w:val="16"/>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5"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OTHER AGREEMENTS OF THE PARTIES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Furnishing of Information</w:t>
      </w:r>
      <w:r>
        <w:rPr>
          <w:rFonts w:ascii="Arial" w:cs="Arial" w:eastAsia="Arial" w:hAnsi="Arial"/>
          <w:sz w:val="18"/>
          <w:szCs w:val="18"/>
          <w:color w:val="auto"/>
        </w:rPr>
        <w:t>.</w:t>
      </w:r>
    </w:p>
    <w:p>
      <w:pPr>
        <w:spacing w:after="0" w:line="117" w:lineRule="exact"/>
        <w:rPr>
          <w:sz w:val="20"/>
          <w:szCs w:val="20"/>
          <w:color w:val="auto"/>
        </w:rPr>
      </w:pPr>
    </w:p>
    <w:p>
      <w:pPr>
        <w:ind w:left="440" w:right="20" w:firstLine="428"/>
        <w:spacing w:after="0" w:line="259" w:lineRule="auto"/>
        <w:tabs>
          <w:tab w:leader="none" w:pos="11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Until the one year anniversary of the Closing Date,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 provided, however that this covenant shall not prevent a sale, merger or similar transaction involving the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7" w:name="page28"/>
    <w:bookmarkEnd w:id="27"/>
    <w:p>
      <w:pPr>
        <w:ind w:right="16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4.3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7"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Securities Laws Disclosure; Publicity</w:t>
      </w:r>
      <w:r>
        <w:rPr>
          <w:rFonts w:ascii="Arial" w:cs="Arial" w:eastAsia="Arial" w:hAnsi="Arial"/>
          <w:sz w:val="17"/>
          <w:szCs w:val="17"/>
          <w:color w:val="auto"/>
        </w:rPr>
        <w:t>. The Company shall (a) as soon as possible on the date hereof,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including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191"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8" w:name="page29"/>
    <w:bookmarkEnd w:id="28"/>
    <w:p>
      <w:pPr>
        <w:ind w:firstLine="44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4.6 </w:t>
      </w:r>
      <w:r>
        <w:rPr>
          <w:rFonts w:ascii="Arial" w:cs="Arial" w:eastAsia="Arial" w:hAnsi="Arial"/>
          <w:sz w:val="17"/>
          <w:szCs w:val="17"/>
          <w:u w:val="single" w:color="auto"/>
          <w:color w:val="auto"/>
        </w:rPr>
        <w:t>Non-Public Information</w:t>
      </w:r>
      <w:r>
        <w:rPr>
          <w:rFonts w:ascii="Arial" w:cs="Arial" w:eastAsia="Arial" w:hAnsi="Arial"/>
          <w:sz w:val="17"/>
          <w:szCs w:val="17"/>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188"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shall use the net proceeds from the sale of the Shares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187"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29" w:name="page30"/>
    <w:bookmarkEnd w:id="2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w:t>
      </w:r>
    </w:p>
    <w:p>
      <w:pPr>
        <w:spacing w:after="0" w:line="5" w:lineRule="exact"/>
        <w:rPr>
          <w:sz w:val="20"/>
          <w:szCs w:val="20"/>
          <w:color w:val="auto"/>
        </w:rPr>
      </w:pPr>
    </w:p>
    <w:p>
      <w:pPr>
        <w:ind w:right="40" w:firstLine="4"/>
        <w:spacing w:after="0" w:line="268" w:lineRule="auto"/>
        <w:tabs>
          <w:tab w:leader="none" w:pos="2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Listing of Common Stock</w:t>
      </w:r>
      <w:r>
        <w:rPr>
          <w:rFonts w:ascii="Arial" w:cs="Arial" w:eastAsia="Arial" w:hAnsi="Arial"/>
          <w:sz w:val="16"/>
          <w:szCs w:val="16"/>
          <w:color w:val="auto"/>
        </w:rPr>
        <w:t>. The Company hereby agrees to use best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provided, however that this Section 4.10 shall not prevent a sale, merger or similar transaction involving the Company .</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30" w:name="page31"/>
    <w:bookmarkEnd w:id="3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4.12 </w:t>
      </w:r>
      <w:r>
        <w:rPr>
          <w:rFonts w:ascii="Arial" w:cs="Arial" w:eastAsia="Arial" w:hAnsi="Arial"/>
          <w:sz w:val="18"/>
          <w:szCs w:val="18"/>
          <w:u w:val="single" w:color="auto"/>
          <w:color w:val="auto"/>
        </w:rPr>
        <w:t>Subsequent Equity Sales.</w:t>
      </w:r>
    </w:p>
    <w:p>
      <w:pPr>
        <w:spacing w:after="0" w:line="117" w:lineRule="exact"/>
        <w:rPr>
          <w:sz w:val="20"/>
          <w:szCs w:val="20"/>
          <w:color w:val="auto"/>
        </w:rPr>
      </w:pPr>
    </w:p>
    <w:p>
      <w:pPr>
        <w:ind w:left="440" w:right="120" w:firstLine="428"/>
        <w:spacing w:after="0" w:line="308" w:lineRule="auto"/>
        <w:tabs>
          <w:tab w:leader="none" w:pos="1108" w:val="left"/>
        </w:tabs>
        <w:numPr>
          <w:ilvl w:val="0"/>
          <w:numId w:val="30"/>
        </w:numPr>
        <w:rPr>
          <w:rFonts w:ascii="Arial" w:cs="Arial" w:eastAsia="Arial" w:hAnsi="Arial"/>
          <w:sz w:val="17"/>
          <w:szCs w:val="17"/>
          <w:color w:val="auto"/>
        </w:rPr>
      </w:pPr>
      <w:r>
        <w:rPr>
          <w:rFonts w:ascii="Arial" w:cs="Arial" w:eastAsia="Arial" w:hAnsi="Arial"/>
          <w:sz w:val="17"/>
          <w:szCs w:val="17"/>
          <w:color w:val="auto"/>
        </w:rPr>
        <w:t>From the date hereof until 60 days after the Closing Date, neither the Company nor any Subsidiary shall issue, enter into any agreement to issue or announce the issuance or proposed issuance of any shares of Common Stock or Common Stock Equivalents.</w:t>
      </w:r>
    </w:p>
    <w:p>
      <w:pPr>
        <w:spacing w:after="0" w:line="38" w:lineRule="exact"/>
        <w:rPr>
          <w:rFonts w:ascii="Arial" w:cs="Arial" w:eastAsia="Arial" w:hAnsi="Arial"/>
          <w:sz w:val="17"/>
          <w:szCs w:val="17"/>
          <w:color w:val="auto"/>
        </w:rPr>
      </w:pPr>
    </w:p>
    <w:p>
      <w:pPr>
        <w:ind w:left="1120" w:hanging="252"/>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Notwithstanding the foregoing, this Section 4.12 shall not apply in respect of an Exempt Issuance.</w:t>
      </w:r>
    </w:p>
    <w:p>
      <w:pPr>
        <w:spacing w:after="0" w:line="225"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Equal Treatment of Purchasers</w:t>
      </w:r>
      <w:r>
        <w:rPr>
          <w:rFonts w:ascii="Arial" w:cs="Arial" w:eastAsia="Arial" w:hAnsi="Arial"/>
          <w:sz w:val="17"/>
          <w:szCs w:val="17"/>
          <w:color w:val="auto"/>
        </w:rPr>
        <w:t>. No consideration (including any modification of any Transaction Document)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73"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w:t>
      </w:r>
    </w:p>
    <w:p>
      <w:pPr>
        <w:spacing w:after="0" w:line="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Arial" w:cs="Arial" w:eastAsia="Arial" w:hAnsi="Arial"/>
          <w:sz w:val="15"/>
          <w:szCs w:val="15"/>
          <w:color w:val="auto"/>
        </w:rPr>
        <w:t>th</w:t>
      </w:r>
      <w:r>
        <w:rPr>
          <w:rFonts w:ascii="Arial" w:cs="Arial" w:eastAsia="Arial" w:hAnsi="Arial"/>
          <w:sz w:val="18"/>
          <w:szCs w:val="18"/>
          <w:color w:val="auto"/>
        </w:rPr>
        <w:t xml:space="preserve">) Trading Day following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termination will affect the right of any party to sue for any breach by any other party (or parties).</w:t>
      </w:r>
    </w:p>
    <w:p>
      <w:pPr>
        <w:spacing w:after="0" w:line="18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stamp taxes and other taxes and duties levied in connection with the delivery of any Shares to the Purchasers.</w:t>
      </w:r>
    </w:p>
    <w:p>
      <w:pPr>
        <w:spacing w:after="0" w:line="188"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w:t>
      </w:r>
      <w:r>
        <w:rPr>
          <w:rFonts w:ascii="Arial" w:cs="Arial" w:eastAsia="Arial" w:hAnsi="Arial"/>
          <w:sz w:val="14"/>
          <w:szCs w:val="14"/>
          <w:color w:val="auto"/>
        </w:rPr>
        <w:t>nd</w:t>
      </w:r>
      <w:r>
        <w:rPr>
          <w:rFonts w:ascii="Arial" w:cs="Arial" w:eastAsia="Arial" w:hAnsi="Arial"/>
          <w:sz w:val="17"/>
          <w:szCs w:val="17"/>
          <w:color w:val="auto"/>
        </w:rPr>
        <w:t>)Trading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178"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Amendments; Waivers</w:t>
      </w:r>
      <w:r>
        <w:rPr>
          <w:rFonts w:ascii="Arial" w:cs="Arial" w:eastAsia="Arial" w:hAnsi="Arial"/>
          <w:sz w:val="18"/>
          <w:szCs w:val="18"/>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0" w:right="459" w:bottom="1440" w:gutter="0" w:footer="0" w:header="0"/>
        </w:sectPr>
      </w:pPr>
    </w:p>
    <w:bookmarkStart w:id="32" w:name="page33"/>
    <w:bookmarkEnd w:id="32"/>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Shares and the Company.</w:t>
      </w:r>
    </w:p>
    <w:p>
      <w:pPr>
        <w:spacing w:after="0" w:line="178"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the “Purchasers.”</w:t>
      </w:r>
    </w:p>
    <w:p>
      <w:pPr>
        <w:spacing w:after="0" w:line="188" w:lineRule="exact"/>
        <w:rPr>
          <w:sz w:val="20"/>
          <w:szCs w:val="20"/>
          <w:color w:val="auto"/>
        </w:rPr>
      </w:pPr>
    </w:p>
    <w:p>
      <w:pPr>
        <w:ind w:right="140" w:firstLine="441"/>
        <w:spacing w:after="0" w:line="312"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The Placement Agent shall be the third party beneficiary of the representations and warranties of the Company in Section 3.1.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47"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3" w:name="page34"/>
    <w:bookmarkEnd w:id="33"/>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71"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and the delivery of the Shares for a period of not longer than one year from the Closing Date.</w:t>
      </w:r>
    </w:p>
    <w:p>
      <w:pPr>
        <w:spacing w:after="0" w:line="170"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73"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8"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Rescission and Withdrawal Right</w:t>
      </w:r>
      <w:r>
        <w:rPr>
          <w:rFonts w:ascii="Arial" w:cs="Arial" w:eastAsia="Arial" w:hAnsi="Arial"/>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88"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Shares</w:t>
      </w:r>
      <w:r>
        <w:rPr>
          <w:rFonts w:ascii="Arial" w:cs="Arial" w:eastAsia="Arial" w:hAnsi="Arial"/>
          <w:sz w:val="18"/>
          <w:szCs w:val="18"/>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34" w:name="page35"/>
    <w:bookmarkEnd w:id="34"/>
    <w:p>
      <w:pPr>
        <w:jc w:val="both"/>
        <w:ind w:right="100" w:firstLine="441"/>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5.15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5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Payment Set Aside</w:t>
      </w:r>
      <w:r>
        <w:rPr>
          <w:rFonts w:ascii="Arial" w:cs="Arial" w:eastAsia="Arial" w:hAnsi="Arial"/>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9"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legal counsel of the Placement Agent does not represent any of the Purchasers and only represent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75" w:lineRule="exact"/>
        <w:rPr>
          <w:sz w:val="20"/>
          <w:szCs w:val="20"/>
          <w:color w:val="auto"/>
        </w:rPr>
      </w:pPr>
    </w:p>
    <w:p>
      <w:pPr>
        <w:ind w:right="200" w:firstLine="441"/>
        <w:spacing w:after="0" w:line="342" w:lineRule="auto"/>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35" w:name="page36"/>
    <w:bookmarkEnd w:id="35"/>
    <w:p>
      <w:pPr>
        <w:ind w:right="160" w:firstLine="441"/>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5.19 </w:t>
      </w:r>
      <w:r>
        <w:rPr>
          <w:rFonts w:ascii="Arial" w:cs="Arial" w:eastAsia="Arial" w:hAnsi="Arial"/>
          <w:sz w:val="16"/>
          <w:szCs w:val="16"/>
          <w:u w:val="single" w:color="auto"/>
          <w:color w:val="auto"/>
        </w:rPr>
        <w:t>Construction</w:t>
      </w:r>
      <w:r>
        <w:rPr>
          <w:rFonts w:ascii="Arial" w:cs="Arial" w:eastAsia="Arial" w:hAnsi="Arial"/>
          <w:sz w:val="16"/>
          <w:szCs w:val="16"/>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 ANY ACTION, SUIT, OR PROCEEDING IN ANY JURISDICTION BROUGHT BY ANY PARTY</w:t>
      </w:r>
    </w:p>
    <w:p>
      <w:pPr>
        <w:spacing w:after="0" w:line="2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4" w:right="499" w:bottom="1440" w:gutter="0" w:footer="0" w:header="0"/>
        </w:sectPr>
      </w:pPr>
    </w:p>
    <w:bookmarkStart w:id="36" w:name="page37"/>
    <w:bookmarkEnd w:id="36"/>
    <w:p>
      <w:pPr>
        <w:ind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ARCTURUS THERAPEUTICS HOLDINGS INC.</w:t>
            </w:r>
          </w:p>
        </w:tc>
        <w:tc>
          <w:tcPr>
            <w:tcW w:w="164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Address for Notice:</w:t>
            </w:r>
          </w:p>
        </w:tc>
      </w:tr>
      <w:tr>
        <w:trPr>
          <w:trHeight w:val="20"/>
        </w:trPr>
        <w:tc>
          <w:tcPr>
            <w:tcW w:w="44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80"/>
        </w:trPr>
        <w:tc>
          <w:tcPr>
            <w:tcW w:w="4420" w:type="dxa"/>
            <w:vAlign w:val="bottom"/>
            <w:gridSpan w:val="2"/>
          </w:tcPr>
          <w:p>
            <w:pPr>
              <w:spacing w:after="0"/>
              <w:rPr>
                <w:sz w:val="20"/>
                <w:szCs w:val="20"/>
                <w:color w:val="auto"/>
              </w:rPr>
            </w:pPr>
            <w:r>
              <w:rPr>
                <w:rFonts w:ascii="Arial" w:cs="Arial" w:eastAsia="Arial" w:hAnsi="Arial"/>
                <w:sz w:val="18"/>
                <w:szCs w:val="18"/>
                <w:color w:val="auto"/>
              </w:rPr>
              <w:t>By:</w:t>
            </w:r>
          </w:p>
        </w:tc>
        <w:tc>
          <w:tcPr>
            <w:tcW w:w="1640" w:type="dxa"/>
            <w:vAlign w:val="bottom"/>
          </w:tcPr>
          <w:p>
            <w:pPr>
              <w:spacing w:after="0"/>
              <w:rPr>
                <w:sz w:val="24"/>
                <w:szCs w:val="24"/>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Arcturus Therapeutics, Inc.</w:t>
            </w:r>
          </w:p>
        </w:tc>
      </w:tr>
      <w:tr>
        <w:trPr>
          <w:trHeight w:val="209"/>
        </w:trPr>
        <w:tc>
          <w:tcPr>
            <w:tcW w:w="380" w:type="dxa"/>
            <w:vAlign w:val="bottom"/>
          </w:tcPr>
          <w:p>
            <w:pPr>
              <w:spacing w:after="0"/>
              <w:rPr>
                <w:sz w:val="18"/>
                <w:szCs w:val="18"/>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64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89"/>
              </w:rPr>
              <w:t>10628 Science Center Drive, Suite 250</w:t>
            </w:r>
          </w:p>
        </w:tc>
      </w:tr>
      <w:tr>
        <w:trPr>
          <w:trHeight w:val="216"/>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Title:</w:t>
            </w:r>
          </w:p>
        </w:tc>
        <w:tc>
          <w:tcPr>
            <w:tcW w:w="164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San Diego, CA 92121</w:t>
            </w:r>
          </w:p>
        </w:tc>
      </w:tr>
      <w:tr>
        <w:trPr>
          <w:trHeight w:val="230"/>
        </w:trPr>
        <w:tc>
          <w:tcPr>
            <w:tcW w:w="3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Attn: Chief Executive Officer</w:t>
            </w: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With a copy to (which shall not constitute notice):</w:t>
            </w:r>
          </w:p>
        </w:tc>
        <w:tc>
          <w:tcPr>
            <w:tcW w:w="1640" w:type="dxa"/>
            <w:vAlign w:val="bottom"/>
          </w:tcPr>
          <w:p>
            <w:pPr>
              <w:spacing w:after="0"/>
              <w:rPr>
                <w:sz w:val="20"/>
                <w:szCs w:val="20"/>
                <w:color w:val="auto"/>
              </w:rPr>
            </w:pP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rPr>
              <w:t>Email: joe@arcturusrx.com</w:t>
            </w:r>
          </w:p>
        </w:tc>
      </w:tr>
      <w:tr>
        <w:trPr>
          <w:trHeight w:val="418"/>
        </w:trPr>
        <w:tc>
          <w:tcPr>
            <w:tcW w:w="4420" w:type="dxa"/>
            <w:vAlign w:val="bottom"/>
            <w:gridSpan w:val="2"/>
          </w:tcPr>
          <w:p>
            <w:pPr>
              <w:spacing w:after="0"/>
              <w:rPr>
                <w:sz w:val="20"/>
                <w:szCs w:val="20"/>
                <w:color w:val="auto"/>
              </w:rPr>
            </w:pPr>
            <w:r>
              <w:rPr>
                <w:rFonts w:ascii="Arial" w:cs="Arial" w:eastAsia="Arial" w:hAnsi="Arial"/>
                <w:sz w:val="18"/>
                <w:szCs w:val="18"/>
                <w:color w:val="auto"/>
              </w:rPr>
              <w:t>Dentons US LLP</w:t>
            </w:r>
          </w:p>
        </w:tc>
        <w:tc>
          <w:tcPr>
            <w:tcW w:w="306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24"/>
                <w:szCs w:val="24"/>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1221 Avenue of the Americas</w:t>
            </w:r>
          </w:p>
        </w:tc>
        <w:tc>
          <w:tcPr>
            <w:tcW w:w="1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New York, NY 10020-1089</w:t>
            </w:r>
          </w:p>
        </w:tc>
        <w:tc>
          <w:tcPr>
            <w:tcW w:w="1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Attn: Jeffrey Baumel</w:t>
            </w:r>
          </w:p>
        </w:tc>
        <w:tc>
          <w:tcPr>
            <w:tcW w:w="1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Email: jeffrey.baumel@dentons.com</w:t>
            </w:r>
          </w:p>
        </w:tc>
        <w:tc>
          <w:tcPr>
            <w:tcW w:w="1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21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SIGNATURE PAGE FOR PURCHASER FOLLOWS]</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80"/>
          </w:cols>
          <w:pgMar w:left="440" w:top="274" w:right="879" w:bottom="1440" w:gutter="0" w:footer="0" w:header="0"/>
        </w:sectPr>
      </w:pPr>
    </w:p>
    <w:bookmarkStart w:id="37" w:name="page38"/>
    <w:bookmarkEnd w:id="37"/>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[PURCHASER SIGNATURE PAGES TO ARCT SECURITIES PURCHASE AGREEMENT]</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-10160</wp:posOffset>
            </wp:positionV>
            <wp:extent cx="29146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-10160</wp:posOffset>
            </wp:positionV>
            <wp:extent cx="17430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1475105</wp:posOffset>
            </wp:positionH>
            <wp:positionV relativeFrom="paragraph">
              <wp:posOffset>-10160</wp:posOffset>
            </wp:positionV>
            <wp:extent cx="25717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1414145</wp:posOffset>
            </wp:positionH>
            <wp:positionV relativeFrom="paragraph">
              <wp:posOffset>-10160</wp:posOffset>
            </wp:positionV>
            <wp:extent cx="26860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1878330</wp:posOffset>
            </wp:positionH>
            <wp:positionV relativeFrom="paragraph">
              <wp:posOffset>-10160</wp:posOffset>
            </wp:positionV>
            <wp:extent cx="23145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2049780</wp:posOffset>
            </wp:positionH>
            <wp:positionV relativeFrom="paragraph">
              <wp:posOffset>-10160</wp:posOffset>
            </wp:positionV>
            <wp:extent cx="23145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to Purchaser: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Shares to Purchaser (if not same as address for notice):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DWAC for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1101090</wp:posOffset>
            </wp:positionH>
            <wp:positionV relativeFrom="paragraph">
              <wp:posOffset>-10160</wp:posOffset>
            </wp:positionV>
            <wp:extent cx="12858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-10160</wp:posOffset>
            </wp:positionV>
            <wp:extent cx="14001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EIN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-10160</wp:posOffset>
            </wp:positionV>
            <wp:extent cx="14001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205" w:lineRule="exact"/>
        <w:rPr>
          <w:sz w:val="20"/>
          <w:szCs w:val="20"/>
          <w:color w:val="auto"/>
        </w:rPr>
      </w:pPr>
    </w:p>
    <w:p>
      <w:pPr>
        <w:ind w:firstLine="4"/>
        <w:spacing w:after="0" w:line="286" w:lineRule="auto"/>
        <w:tabs>
          <w:tab w:leader="none" w:pos="207" w:val="left"/>
        </w:tabs>
        <w:numPr>
          <w:ilvl w:val="0"/>
          <w:numId w:val="31"/>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by the second (2nd) Trading Day following the date of this Agreement and (iii) any condition to Closing contemplated by this Agreement (but prior to being disregarded by clause</w:t>
      </w:r>
    </w:p>
    <w:p>
      <w:pPr>
        <w:spacing w:after="0" w:line="1" w:lineRule="exact"/>
        <w:rPr>
          <w:rFonts w:ascii="MS PGothic" w:cs="MS PGothic" w:eastAsia="MS PGothic" w:hAnsi="MS PGothic"/>
          <w:sz w:val="16"/>
          <w:szCs w:val="16"/>
          <w:color w:val="auto"/>
        </w:rPr>
      </w:pPr>
    </w:p>
    <w:p>
      <w:pPr>
        <w:ind w:right="20"/>
        <w:spacing w:after="0" w:line="277" w:lineRule="auto"/>
        <w:rPr>
          <w:rFonts w:ascii="MS PGothic" w:cs="MS PGothic" w:eastAsia="MS PGothic" w:hAnsi="MS PGothic"/>
          <w:sz w:val="16"/>
          <w:szCs w:val="16"/>
          <w:color w:val="auto"/>
        </w:rPr>
      </w:pPr>
      <w:r>
        <w:rPr>
          <w:rFonts w:ascii="Arial" w:cs="Arial" w:eastAsia="Arial" w:hAnsi="Arial"/>
          <w:sz w:val="17"/>
          <w:szCs w:val="17"/>
          <w:color w:val="auto"/>
        </w:rPr>
        <w:t>(i)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PAGES CONTINUE]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Arcturus Therapeutics Announces $2.3 Million Additional Registered Direct Offering of Common Stock</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San Diego, Calif, August 2, 2019 – Arcturus Therapeutics (“Arcturus” or the “Company”), a leading RNA medicines company focused on the discovery, development and commercialization of therapeutics for rare diseases, today announced that it has entered into a definitive agreement with an institutional investor for the purchase and sale in a registered direct offering of 200,000 shares of the Company’s common stock, at a purchase price of $11.50 per share, for aggregate gross proceeds of $2.3 million. The offering is expected to close on or about August 5, 2019, subject to the satisfaction of customary closing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is acting as exclusive placement agent for the offering.</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offering is in addition to the registered direct offering by Arcturus announced on August 1, 2019, relating to the sale of 945,653 shares of common stock at a purchase price of $11.50 per share, for gross proceeds of approximately $10.9 million. The Company intends to use the net proceeds from this offering and the prior offering to fund its continued research and development initiatives in connection with its product pipeline including, but not limited to LUNAR-CF, LUNAR-CV, LUNAR-MD and general corporate purposes.</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The shares of common stock are being offered by the Company pursuant to a “shelf” registration statement on Form S-3 (File No. 333-232281) previously declared effective by the Securities and Exchange Commission (the “SEC”) on July 29, 2019. The shares of common stock may be offered only by means of a prospectus supplement that forms a part of the effective registration statement. A prospectus supplement and the accompanying prospectus relating to the offering will be filed with the SEC. Electronic copies of the prospectus supplement and the accompanying prospectus may be obtained, when available, from H.C. Wainwright &amp; Co., LLC, 430 Park Avenue, 3rd Floor, New York, NY 10022, or by calling (646) 975-6996 or by emailing </w:t>
      </w:r>
      <w:r>
        <w:rPr>
          <w:rFonts w:ascii="Arial" w:cs="Arial" w:eastAsia="Arial" w:hAnsi="Arial"/>
          <w:sz w:val="17"/>
          <w:szCs w:val="17"/>
          <w:u w:val="single" w:color="auto"/>
          <w:color w:val="auto"/>
        </w:rPr>
        <w:t>placements@hcwco.com</w:t>
      </w:r>
      <w:r>
        <w:rPr>
          <w:rFonts w:ascii="Arial" w:cs="Arial" w:eastAsia="Arial" w:hAnsi="Arial"/>
          <w:sz w:val="17"/>
          <w:szCs w:val="17"/>
          <w:color w:val="auto"/>
        </w:rPr>
        <w:t xml:space="preserve"> or at the SEC’s website at </w:t>
      </w:r>
      <w:r>
        <w:rPr>
          <w:rFonts w:ascii="Arial" w:cs="Arial" w:eastAsia="Arial" w:hAnsi="Arial"/>
          <w:sz w:val="17"/>
          <w:szCs w:val="17"/>
          <w:u w:val="single" w:color="auto"/>
          <w:color w:val="auto"/>
        </w:rPr>
        <w:t>http://www.sec.gov.</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Founded in 2013 and based in San Diego, California, Arcturus Therapeutics Holdings Inc. (Nasdaq: ARCT) is an RNA medicines company with enabling technologies – LUNAR</w:t>
      </w:r>
      <w:r>
        <w:rPr>
          <w:rFonts w:ascii="Arial" w:cs="Arial" w:eastAsia="Arial" w:hAnsi="Arial"/>
          <w:sz w:val="14"/>
          <w:szCs w:val="14"/>
          <w:color w:val="auto"/>
        </w:rPr>
        <w:t>®</w:t>
      </w:r>
      <w:r>
        <w:rPr>
          <w:rFonts w:ascii="Arial" w:cs="Arial" w:eastAsia="Arial" w:hAnsi="Arial"/>
          <w:sz w:val="17"/>
          <w:szCs w:val="17"/>
          <w:color w:val="auto"/>
        </w:rPr>
        <w:t xml:space="preserve"> lipid-mediated delivery and Unlocked Nucleomonomer Analog (UNA) chemistry – and mRNA drug substance along with drug product manufacturing. Arcturus’ diverse pipeline of RNA therapeutics includes programs to potentially treat Ornithine Transcarbamylase (OTC) Deficiency, Cystic Fibrosis, Glycogen Storage Disease Type 3, Hepatitis B, and non-alcoholic steatohepatitis (NASH).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(167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Synthetic Genomics Inc. and the Cystic Fibrosis Foundation. For more information, visit </w:t>
      </w:r>
      <w:r>
        <w:rPr>
          <w:rFonts w:ascii="Arial" w:cs="Arial" w:eastAsia="Arial" w:hAnsi="Arial"/>
          <w:sz w:val="17"/>
          <w:szCs w:val="17"/>
          <w:u w:val="single" w:color="auto"/>
          <w:color w:val="auto"/>
        </w:rPr>
        <w:t>www.Arcturusrx.com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future financial position, prospects, plans and objectives of management, the likelihood of success of the Company’s technology or potential development of any products, the status of preclinical and clinical development programs, the sufficiency of any drug substances or drug products to meet current goals or expectations, the potential market or success of clinical development programs, and the Company’s future cash and financial position are forward-looking statements. For example, when the Company discusses the timing and expected closing of the offering and the expected use of proceeds, it is using forward-looking statements. Arcturus may not actually achieve the plans, carry out the intentions or meet the expectations or projections disclosed in any forward-looking statements such as the foregoing and you should not place undue reliance on such forward-looking statements. Actual results and performance could differ materially from those projected in any forward-looking statements as a result of many factors, including without limitation, market conditions, the satisfaction of customary closing conditions related to the registered direct offering and use of proceeds, an inability to develop and market product candidates, inability to generate positive verifiable data, unexpected clinical results, unforeseen expenses and general market conditions that may prevent such achievement or performance. Such statements are based on management’s current expectations and involve risks and uncertainties, including those discussed under the heading “Risk Factors” in Arcturus’ Annual Report on Form 10-K for the fiscal year ended December 31, 2018, filed with the SEC on March 18, 2019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ind w:left="440" w:hanging="436"/>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900-2682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Arcturus Investor 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ind w:right="8920" w:firstLine="4"/>
        <w:spacing w:after="0" w:line="323" w:lineRule="auto"/>
        <w:tabs>
          <w:tab w:leader="none" w:pos="4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597-6983 </w:t>
      </w:r>
      <w:r>
        <w:rPr>
          <w:rFonts w:ascii="Arial" w:cs="Arial" w:eastAsia="Arial" w:hAnsi="Arial"/>
          <w:sz w:val="16"/>
          <w:szCs w:val="16"/>
          <w:u w:val="single" w:color="auto"/>
          <w:color w:val="auto"/>
        </w:rPr>
        <w:t>mwood@lifesciadvisors.com</w:t>
      </w:r>
    </w:p>
    <w:sectPr>
      <w:pgSz w:w="11900" w:h="16838" w:orient="portrait"/>
      <w:cols w:equalWidth="0" w:num="1">
        <w:col w:w="11020"/>
      </w:cols>
      <w:pgMar w:left="440" w:top="121" w:right="439" w:bottom="40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lowerLetter"/>
      <w:start w:val="1"/>
    </w:lvl>
    <w:lvl w:ilvl="1">
      <w:lvlJc w:val="left"/>
      <w:lvlText w:val="(%2)"/>
      <w:numFmt w:val="lowerRoman"/>
      <w:start w:val="1"/>
    </w:lvl>
  </w:abstractNum>
  <w:abstractNum w:abstractNumId="2">
    <w:nsid w:val="431BD7B7"/>
    <w:multiLevelType w:val="hybridMultilevel"/>
    <w:lvl w:ilvl="0">
      <w:lvlJc w:val="left"/>
      <w:lvlText w:val="(%1)"/>
      <w:numFmt w:val="lowerRoman"/>
      <w:start w:val="2"/>
    </w:lvl>
  </w:abstractNum>
  <w:abstractNum w:abstractNumId="3">
    <w:nsid w:val="3F2DBA31"/>
    <w:multiLevelType w:val="hybridMultilevel"/>
    <w:lvl w:ilvl="0">
      <w:lvlJc w:val="left"/>
      <w:lvlText w:val="(%1)"/>
      <w:numFmt w:val="lowerLetter"/>
      <w:start w:val="1"/>
    </w:lvl>
    <w:lvl w:ilvl="1">
      <w:lvlJc w:val="left"/>
      <w:lvlText w:val="(%2)"/>
      <w:numFmt w:val="lowerRoman"/>
      <w:start w:val="1"/>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1"/>
      <w:numFmt w:val="lowerLetter"/>
      <w:start w:val="1"/>
    </w:lvl>
    <w:lvl w:ilvl="1">
      <w:lvlJc w:val="left"/>
      <w:lvlText w:val="(%2)"/>
      <w:numFmt w:val="lowerLetter"/>
      <w:start w:val="3"/>
    </w:lvl>
  </w:abstractNum>
  <w:abstractNum w:abstractNumId="6">
    <w:nsid w:val="62BBD95A"/>
    <w:multiLevelType w:val="hybridMultilevel"/>
    <w:lvl w:ilvl="0">
      <w:lvlJc w:val="left"/>
      <w:lvlText w:val="(%1)"/>
      <w:numFmt w:val="lowerLetter"/>
      <w:start w:val="61"/>
    </w:lvl>
    <w:lvl w:ilvl="1">
      <w:lvlJc w:val="left"/>
      <w:lvlText w:val="%2"/>
      <w:numFmt w:val="lowerLetter"/>
      <w:start w:val="1"/>
    </w:lvl>
  </w:abstractNum>
  <w:abstractNum w:abstractNumId="7">
    <w:nsid w:val="436C6125"/>
    <w:multiLevelType w:val="hybridMultilevel"/>
    <w:lvl w:ilvl="0">
      <w:lvlJc w:val="left"/>
      <w:lvlText w:val="(%1)"/>
      <w:numFmt w:val="lowerLetter"/>
      <w:start w:val="35"/>
    </w:lvl>
    <w:lvl w:ilvl="1">
      <w:lvlJc w:val="left"/>
      <w:lvlText w:val="(%2)"/>
      <w:numFmt w:val="lowerLetter"/>
      <w:start w:val="5"/>
    </w:lvl>
  </w:abstractNum>
  <w:abstractNum w:abstractNumId="8">
    <w:nsid w:val="628C895D"/>
    <w:multiLevelType w:val="hybridMultilevel"/>
    <w:lvl w:ilvl="0">
      <w:lvlJc w:val="left"/>
      <w:lvlText w:val="(%1)"/>
      <w:numFmt w:val="lowerLetter"/>
      <w:start w:val="6"/>
    </w:lvl>
  </w:abstractNum>
  <w:abstractNum w:abstractNumId="9">
    <w:nsid w:val="333AB105"/>
    <w:multiLevelType w:val="hybridMultilevel"/>
    <w:lvl w:ilvl="0">
      <w:lvlJc w:val="left"/>
      <w:lvlText w:val="(%1)"/>
      <w:numFmt w:val="lowerLetter"/>
      <w:start w:val="8"/>
    </w:lvl>
  </w:abstractNum>
  <w:abstractNum w:abstractNumId="10">
    <w:nsid w:val="721DA317"/>
    <w:multiLevelType w:val="hybridMultilevel"/>
    <w:lvl w:ilvl="0">
      <w:lvlJc w:val="left"/>
      <w:lvlText w:val="%1"/>
      <w:numFmt w:val="upperLetter"/>
      <w:start w:val="1"/>
    </w:lvl>
    <w:lvl w:ilvl="1">
      <w:lvlJc w:val="left"/>
      <w:lvlText w:val="(%2)"/>
      <w:numFmt w:val="lowerLetter"/>
      <w:start w:val="9"/>
    </w:lvl>
  </w:abstractNum>
  <w:abstractNum w:abstractNumId="11">
    <w:nsid w:val="2443A858"/>
    <w:multiLevelType w:val="hybridMultilevel"/>
    <w:lvl w:ilvl="0">
      <w:lvlJc w:val="left"/>
      <w:lvlText w:val="(%1)"/>
      <w:numFmt w:val="upperLetter"/>
      <w:start w:val="1"/>
    </w:lvl>
    <w:lvl w:ilvl="1">
      <w:lvlJc w:val="left"/>
      <w:lvlText w:val="(%2)"/>
      <w:numFmt w:val="lowerLetter"/>
      <w:start w:val="10"/>
    </w:lvl>
  </w:abstractNum>
  <w:abstractNum w:abstractNumId="12">
    <w:nsid w:val="2D1D5AE9"/>
    <w:multiLevelType w:val="hybridMultilevel"/>
    <w:lvl w:ilvl="0">
      <w:lvlJc w:val="left"/>
      <w:lvlText w:val="(%1)"/>
      <w:numFmt w:val="lowerLetter"/>
      <w:start w:val="11"/>
    </w:lvl>
  </w:abstractNum>
  <w:abstractNum w:abstractNumId="13">
    <w:nsid w:val="6763845E"/>
    <w:multiLevelType w:val="hybridMultilevel"/>
    <w:lvl w:ilvl="0">
      <w:lvlJc w:val="left"/>
      <w:lvlText w:val="(%1)"/>
      <w:numFmt w:val="lowerLetter"/>
      <w:start w:val="14"/>
    </w:lvl>
  </w:abstractNum>
  <w:abstractNum w:abstractNumId="14">
    <w:nsid w:val="75A2A8D4"/>
    <w:multiLevelType w:val="hybridMultilevel"/>
    <w:lvl w:ilvl="0">
      <w:lvlJc w:val="left"/>
      <w:lvlText w:val="(%1)"/>
      <w:numFmt w:val="lowerLetter"/>
      <w:start w:val="17"/>
    </w:lvl>
  </w:abstractNum>
  <w:abstractNum w:abstractNumId="15">
    <w:nsid w:val="8EDBDAB"/>
    <w:multiLevelType w:val="hybridMultilevel"/>
    <w:lvl w:ilvl="0">
      <w:lvlJc w:val="left"/>
      <w:lvlText w:val="(%1)"/>
      <w:numFmt w:val="lowerLetter"/>
      <w:start w:val="20"/>
    </w:lvl>
  </w:abstractNum>
  <w:abstractNum w:abstractNumId="16">
    <w:nsid w:val="79838CB2"/>
    <w:multiLevelType w:val="hybridMultilevel"/>
    <w:lvl w:ilvl="0">
      <w:lvlJc w:val="left"/>
      <w:lvlText w:val="(%1)"/>
      <w:numFmt w:val="lowerLetter"/>
      <w:start w:val="24"/>
    </w:lvl>
  </w:abstractNum>
  <w:abstractNum w:abstractNumId="17">
    <w:nsid w:val="4353D0CD"/>
    <w:multiLevelType w:val="hybridMultilevel"/>
    <w:lvl w:ilvl="0">
      <w:lvlJc w:val="left"/>
      <w:lvlText w:val="%1"/>
      <w:numFmt w:val="lowerLetter"/>
      <w:start w:val="1"/>
    </w:lvl>
    <w:lvl w:ilvl="1">
      <w:lvlJc w:val="left"/>
      <w:lvlText w:val="(%2)"/>
      <w:numFmt w:val="lowerLetter"/>
      <w:start w:val="27"/>
    </w:lvl>
  </w:abstractNum>
  <w:abstractNum w:abstractNumId="18">
    <w:nsid w:val="B03E0C6"/>
    <w:multiLevelType w:val="hybridMultilevel"/>
    <w:lvl w:ilvl="0">
      <w:lvlJc w:val="left"/>
      <w:lvlText w:val="(%1)"/>
      <w:numFmt w:val="lowerLetter"/>
      <w:start w:val="35"/>
    </w:lvl>
    <w:lvl w:ilvl="1">
      <w:lvlJc w:val="left"/>
      <w:lvlText w:val="(%2)"/>
      <w:numFmt w:val="lowerLetter"/>
      <w:start w:val="28"/>
    </w:lvl>
  </w:abstractNum>
  <w:abstractNum w:abstractNumId="19">
    <w:nsid w:val="189A769B"/>
    <w:multiLevelType w:val="hybridMultilevel"/>
    <w:lvl w:ilvl="0">
      <w:lvlJc w:val="left"/>
      <w:lvlText w:val="(%1)"/>
      <w:numFmt w:val="lowerLetter"/>
      <w:start w:val="61"/>
    </w:lvl>
    <w:lvl w:ilvl="1">
      <w:lvlJc w:val="left"/>
      <w:lvlText w:val="(%2)"/>
      <w:numFmt w:val="lowerLetter"/>
      <w:start w:val="29"/>
    </w:lvl>
  </w:abstractNum>
  <w:abstractNum w:abstractNumId="20">
    <w:nsid w:val="54E49EB4"/>
    <w:multiLevelType w:val="hybridMultilevel"/>
    <w:lvl w:ilvl="0">
      <w:lvlJc w:val="left"/>
      <w:lvlText w:val="(%1)"/>
      <w:numFmt w:val="lowerLetter"/>
      <w:start w:val="30"/>
    </w:lvl>
  </w:abstractNum>
  <w:abstractNum w:abstractNumId="21">
    <w:nsid w:val="71F32454"/>
    <w:multiLevelType w:val="hybridMultilevel"/>
    <w:lvl w:ilvl="0">
      <w:lvlJc w:val="left"/>
      <w:lvlText w:val="%1"/>
      <w:numFmt w:val="lowerLetter"/>
      <w:start w:val="1"/>
    </w:lvl>
    <w:lvl w:ilvl="1">
      <w:lvlJc w:val="left"/>
      <w:lvlText w:val="(%2)"/>
      <w:numFmt w:val="lowerLetter"/>
      <w:start w:val="33"/>
    </w:lvl>
  </w:abstractNum>
  <w:abstractNum w:abstractNumId="22">
    <w:nsid w:val="2CA88611"/>
    <w:multiLevelType w:val="hybridMultilevel"/>
    <w:lvl w:ilvl="0">
      <w:lvlJc w:val="left"/>
      <w:lvlText w:val="(%1)"/>
      <w:numFmt w:val="lowerLetter"/>
      <w:start w:val="22"/>
    </w:lvl>
    <w:lvl w:ilvl="1">
      <w:lvlJc w:val="left"/>
      <w:lvlText w:val="%2"/>
      <w:numFmt w:val="lowerLetter"/>
      <w:start w:val="1"/>
    </w:lvl>
  </w:abstractNum>
  <w:abstractNum w:abstractNumId="23">
    <w:nsid w:val="836C40E"/>
    <w:multiLevelType w:val="hybridMultilevel"/>
    <w:lvl w:ilvl="0">
      <w:lvlJc w:val="left"/>
      <w:lvlText w:val="(%1)"/>
      <w:numFmt w:val="lowerLetter"/>
      <w:start w:val="35"/>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2"/>
    </w:lvl>
  </w:abstractNum>
  <w:abstractNum w:abstractNumId="26">
    <w:nsid w:val="8138641"/>
    <w:multiLevelType w:val="hybridMultilevel"/>
    <w:lvl w:ilvl="0">
      <w:lvlJc w:val="left"/>
      <w:lvlText w:val="(%1)"/>
      <w:numFmt w:val="lowerLetter"/>
      <w:start w:val="6"/>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25"/>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858"/>
    </w:lvl>
  </w:abstractNum>
  <w:abstractNum w:abstractNumId="32">
    <w:nsid w:val="4516DDE9"/>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18" Type="http://schemas.openxmlformats.org/officeDocument/2006/relationships/hyperlink" Target="http://www.sec.gov/Archives/edgar/data/1768224/000119312519212082/d776215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2019-12-28T09:15:57Z</dcterms:created>
  <dcterms:modified xsi:type="dcterms:W3CDTF">2019-12-28T09:15:57Z</dcterms:modified>
</cp:coreProperties>
</file>