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20"/>
          <w:szCs w:val="20"/>
          <w:color w:val="auto"/>
        </w:rPr>
        <w:t>Form 6-K</w:t>
      </w:r>
    </w:p>
    <w:p>
      <w:pPr>
        <w:spacing w:after="0" w:line="21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September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20"/>
          <w:szCs w:val="20"/>
          <w:u w:val="single" w:color="auto"/>
          <w:color w:val="auto"/>
        </w:rPr>
        <w:t>ALCOBRA LTD.</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660"/>
        <w:spacing w:after="0" w:line="242" w:lineRule="exact"/>
        <w:tabs>
          <w:tab w:leader="none" w:pos="2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9"/>
          <w:szCs w:val="19"/>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 w:name="page2"/>
    <w:bookmarkEnd w:id="1"/>
    <w:p>
      <w:pPr>
        <w:ind w:right="24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September 28, 2016, announcing an IND clinical hold affecting the MDX Phase III MEASURE study.</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first two paragraphs and the paragraph titled “Forward Looking Statements” of the press release attached to this Form 6-K of the Registrant are incorporated by reference into the Registration Statements on Form F-3 (File No. 333-209960) and Form S-8 (File No.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September 28, 2016, announcing an IND clinical hold affecting the MDX Phase III MEASURE study.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Dr. Tomer Berkovitz</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125"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320040</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06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060" w:type="dxa"/>
            <w:vAlign w:val="bottom"/>
          </w:tcPr>
          <w:p>
            <w:pPr>
              <w:ind w:left="92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060" w:type="dxa"/>
            <w:vAlign w:val="bottom"/>
          </w:tcPr>
          <w:p>
            <w:pPr>
              <w:ind w:left="920"/>
              <w:spacing w:after="0"/>
              <w:rPr>
                <w:sz w:val="20"/>
                <w:szCs w:val="20"/>
                <w:color w:val="auto"/>
              </w:rPr>
            </w:pPr>
            <w:r>
              <w:rPr>
                <w:rFonts w:ascii="Arial" w:cs="Arial" w:eastAsia="Arial" w:hAnsi="Arial"/>
                <w:sz w:val="18"/>
                <w:szCs w:val="18"/>
                <w:color w:val="auto"/>
              </w:rPr>
              <w:t>Debbie Kaye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00"/>
              <w:spacing w:after="0"/>
              <w:rPr>
                <w:sz w:val="20"/>
                <w:szCs w:val="20"/>
                <w:color w:val="auto"/>
              </w:rPr>
            </w:pPr>
            <w:r>
              <w:rPr>
                <w:rFonts w:ascii="Arial" w:cs="Arial" w:eastAsia="Arial" w:hAnsi="Arial"/>
                <w:sz w:val="18"/>
                <w:szCs w:val="18"/>
                <w:color w:val="auto"/>
              </w:rPr>
              <w:t>773-463-4211</w:t>
            </w:r>
          </w:p>
        </w:tc>
        <w:tc>
          <w:tcPr>
            <w:tcW w:w="3060" w:type="dxa"/>
            <w:vAlign w:val="bottom"/>
          </w:tcPr>
          <w:p>
            <w:pPr>
              <w:ind w:left="920"/>
              <w:spacing w:after="0"/>
              <w:rPr>
                <w:sz w:val="20"/>
                <w:szCs w:val="20"/>
                <w:color w:val="auto"/>
              </w:rPr>
            </w:pPr>
            <w:r>
              <w:rPr>
                <w:rFonts w:ascii="Arial" w:cs="Arial" w:eastAsia="Arial" w:hAnsi="Arial"/>
                <w:sz w:val="18"/>
                <w:szCs w:val="18"/>
                <w:color w:val="auto"/>
              </w:rPr>
              <w:t>+972-72 2204661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00"/>
              <w:spacing w:after="0"/>
              <w:rPr>
                <w:sz w:val="20"/>
                <w:szCs w:val="20"/>
                <w:color w:val="auto"/>
              </w:rPr>
            </w:pPr>
            <w:r>
              <w:rPr>
                <w:rFonts w:ascii="Arial" w:cs="Arial" w:eastAsia="Arial" w:hAnsi="Arial"/>
                <w:sz w:val="18"/>
                <w:szCs w:val="18"/>
                <w:color w:val="0000FF"/>
              </w:rPr>
              <w:t>mikebeyer@sambrown.com</w:t>
            </w:r>
          </w:p>
        </w:tc>
        <w:tc>
          <w:tcPr>
            <w:tcW w:w="3060" w:type="dxa"/>
            <w:vAlign w:val="bottom"/>
          </w:tcPr>
          <w:p>
            <w:pPr>
              <w:ind w:left="920"/>
              <w:spacing w:after="0"/>
              <w:rPr>
                <w:sz w:val="20"/>
                <w:szCs w:val="20"/>
                <w:color w:val="auto"/>
              </w:rPr>
            </w:pPr>
            <w:r>
              <w:rPr>
                <w:rFonts w:ascii="Arial" w:cs="Arial" w:eastAsia="Arial" w:hAnsi="Arial"/>
                <w:sz w:val="18"/>
                <w:szCs w:val="18"/>
                <w:color w:val="0000FF"/>
                <w:w w:val="89"/>
              </w:rPr>
              <w:t>debbie@alcobra-pharma.com</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Alcobra Announces IND Clinical Hold Affecting the MDX Phase III MEASURE Study</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Tel Aviv, Israel – September 28, 2016 – </w:t>
      </w:r>
      <w:r>
        <w:rPr>
          <w:rFonts w:ascii="Arial" w:cs="Arial" w:eastAsia="Arial" w:hAnsi="Arial"/>
          <w:sz w:val="17"/>
          <w:szCs w:val="17"/>
          <w:color w:val="auto"/>
        </w:rPr>
        <w:t>Alcobra Ltd. (NasdaqGM: ADHD), an emerging pharmaceutical company focused on the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medications to treat patients with cognitive disorders, including Attention Deficit Hyperactivity Disorder (ADHD) and Fragile X Syndrome, today announced that it has received verbal notice from the Division of Psychiatry Products of the U.S. Food and Drug Administration (FDA) that a full clinical hold has been placed on its Investigational New Drug (IND) applications for MDX in ADHD and Fragile X Syndrome. The clinical hold affects Alcobra’s ongoing Phase III clinical study of MDX in adult patients with ADHD, known as the “MEASURE” study.</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Alcobra has not yet received written notice of the clinical hold from the FDA, however, based on verbal communications, the FDA indicated that the clinical hold is due to adverse neurological findings in a pre-clinical study. The FDA notification was not based on clinical safety data observed in the ongoing MEASURE study, which has enrolled nearly 500 subjects, or previous clinical studies involving MDX. Alcobra plans to work diligently with the FDA to seek the removal of the clinical hold.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will host a conference call to discuss today’s announcement.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Thursday, September 29, 2016 @ 8:30 a.m. Eastern Time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Domestic:</w:t>
            </w:r>
          </w:p>
        </w:tc>
        <w:tc>
          <w:tcPr>
            <w:tcW w:w="3540" w:type="dxa"/>
            <w:vAlign w:val="bottom"/>
          </w:tcPr>
          <w:p>
            <w:pPr>
              <w:ind w:left="360"/>
              <w:spacing w:after="0"/>
              <w:rPr>
                <w:sz w:val="20"/>
                <w:szCs w:val="20"/>
                <w:color w:val="auto"/>
              </w:rPr>
            </w:pPr>
            <w:r>
              <w:rPr>
                <w:rFonts w:ascii="Arial" w:cs="Arial" w:eastAsia="Arial" w:hAnsi="Arial"/>
                <w:sz w:val="18"/>
                <w:szCs w:val="18"/>
                <w:color w:val="auto"/>
              </w:rPr>
              <w:t>855-469-0611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International:</w:t>
            </w:r>
          </w:p>
        </w:tc>
        <w:tc>
          <w:tcPr>
            <w:tcW w:w="3540" w:type="dxa"/>
            <w:vAlign w:val="bottom"/>
          </w:tcPr>
          <w:p>
            <w:pPr>
              <w:ind w:left="360"/>
              <w:spacing w:after="0"/>
              <w:rPr>
                <w:sz w:val="20"/>
                <w:szCs w:val="20"/>
                <w:color w:val="auto"/>
              </w:rPr>
            </w:pPr>
            <w:r>
              <w:rPr>
                <w:rFonts w:ascii="Arial" w:cs="Arial" w:eastAsia="Arial" w:hAnsi="Arial"/>
                <w:sz w:val="18"/>
                <w:szCs w:val="18"/>
                <w:color w:val="auto"/>
              </w:rPr>
              <w:t>484-756-4341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Passcode:</w:t>
            </w:r>
          </w:p>
        </w:tc>
        <w:tc>
          <w:tcPr>
            <w:tcW w:w="3540" w:type="dxa"/>
            <w:vAlign w:val="bottom"/>
          </w:tcPr>
          <w:p>
            <w:pPr>
              <w:ind w:left="360"/>
              <w:spacing w:after="0"/>
              <w:rPr>
                <w:sz w:val="20"/>
                <w:szCs w:val="20"/>
                <w:color w:val="auto"/>
              </w:rPr>
            </w:pPr>
            <w:r>
              <w:rPr>
                <w:rFonts w:ascii="Arial" w:cs="Arial" w:eastAsia="Arial" w:hAnsi="Arial"/>
                <w:sz w:val="18"/>
                <w:szCs w:val="18"/>
                <w:color w:val="auto"/>
              </w:rPr>
              <w:t>91332641</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Webcast:</w:t>
            </w:r>
          </w:p>
        </w:tc>
        <w:tc>
          <w:tcPr>
            <w:tcW w:w="3540" w:type="dxa"/>
            <w:vAlign w:val="bottom"/>
          </w:tcPr>
          <w:p>
            <w:pPr>
              <w:ind w:left="360"/>
              <w:spacing w:after="0"/>
              <w:rPr>
                <w:sz w:val="20"/>
                <w:szCs w:val="20"/>
                <w:color w:val="auto"/>
              </w:rPr>
            </w:pPr>
            <w:r>
              <w:rPr>
                <w:rFonts w:ascii="Arial" w:cs="Arial" w:eastAsia="Arial" w:hAnsi="Arial"/>
                <w:sz w:val="18"/>
                <w:szCs w:val="18"/>
                <w:color w:val="0000FF"/>
                <w:w w:val="91"/>
              </w:rPr>
              <w:t>http://www.alcobra-pharma.com/events.cfm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October 13, 2016</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91332641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MDX, a proprietary drug candidate, to treat cognitive disorders including ADHD and Fragile X Syndrome.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723265</wp:posOffset>
            </wp:positionV>
            <wp:extent cx="122618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effect of the clinical hold on the Company’s Phase</w:t>
      </w:r>
    </w:p>
    <w:p>
      <w:pPr>
        <w:spacing w:after="0" w:line="3" w:lineRule="exact"/>
        <w:rPr>
          <w:sz w:val="20"/>
          <w:szCs w:val="20"/>
          <w:color w:val="auto"/>
        </w:rPr>
      </w:pPr>
    </w:p>
    <w:p>
      <w:pPr>
        <w:ind w:firstLine="8"/>
        <w:spacing w:after="0" w:line="251" w:lineRule="auto"/>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MEASURE study and other clinical trials, whether the clinical hold will be released, the content of the official full clinical hold letter and any deviations of the content of the clinical hold letter, if and when issued, to the information communicated before by the FDA and content of discussions with the FDA and possible outcomes of such discussions.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6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2019-12-08T23:23:56Z</dcterms:created>
  <dcterms:modified xsi:type="dcterms:W3CDTF">2019-12-08T23:23:56Z</dcterms:modified>
</cp:coreProperties>
</file>