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Alcobra Ltd.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41" w:lineRule="exact"/>
        <w:rPr>
          <w:sz w:val="24"/>
          <w:szCs w:val="24"/>
          <w:color w:val="auto"/>
        </w:rPr>
      </w:pPr>
    </w:p>
    <w:p>
      <w:pPr>
        <w:ind w:left="560"/>
        <w:spacing w:after="0"/>
        <w:rPr>
          <w:sz w:val="20"/>
          <w:szCs w:val="20"/>
          <w:color w:val="auto"/>
        </w:rPr>
      </w:pPr>
      <w:r>
        <w:rPr>
          <w:rFonts w:ascii="Arial" w:cs="Arial" w:eastAsia="Arial" w:hAnsi="Arial"/>
          <w:sz w:val="18"/>
          <w:szCs w:val="18"/>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10287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154305"/>
                    </a:xfrm>
                    <a:prstGeom prst="rect">
                      <a:avLst/>
                    </a:prstGeom>
                    <a:noFill/>
                  </pic:spPr>
                </pic:pic>
              </a:graphicData>
            </a:graphic>
          </wp:anchor>
        </w:drawing>
      </w:r>
    </w:p>
    <w:p>
      <w:pPr>
        <w:spacing w:after="0" w:line="232" w:lineRule="exact"/>
        <w:rPr>
          <w:sz w:val="24"/>
          <w:szCs w:val="24"/>
          <w:color w:val="auto"/>
        </w:rPr>
      </w:pPr>
    </w:p>
    <w:p>
      <w:pPr>
        <w:ind w:left="560"/>
        <w:spacing w:after="0"/>
        <w:rPr>
          <w:sz w:val="20"/>
          <w:szCs w:val="20"/>
          <w:color w:val="auto"/>
        </w:rPr>
      </w:pPr>
      <w:r>
        <w:rPr>
          <w:rFonts w:ascii="Arial" w:cs="Arial" w:eastAsia="Arial" w:hAnsi="Arial"/>
          <w:sz w:val="18"/>
          <w:szCs w:val="18"/>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10287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154305"/>
                    </a:xfrm>
                    <a:prstGeom prst="rect">
                      <a:avLst/>
                    </a:prstGeom>
                    <a:noFill/>
                  </pic:spPr>
                </pic:pic>
              </a:graphicData>
            </a:graphic>
          </wp:anchor>
        </w:drawing>
      </w:r>
    </w:p>
    <w:p>
      <w:pPr>
        <w:spacing w:after="0" w:line="232" w:lineRule="exact"/>
        <w:rPr>
          <w:sz w:val="24"/>
          <w:szCs w:val="24"/>
          <w:color w:val="auto"/>
        </w:rPr>
      </w:pPr>
    </w:p>
    <w:p>
      <w:pPr>
        <w:ind w:left="560" w:hanging="333"/>
        <w:spacing w:after="0"/>
        <w:tabs>
          <w:tab w:leader="none" w:pos="5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-722630</wp:posOffset>
            </wp:positionV>
            <wp:extent cx="10287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54305"/>
                    </a:xfrm>
                    <a:prstGeom prst="rect">
                      <a:avLst/>
                    </a:prstGeom>
                    <a:noFill/>
                  </pic:spPr>
                </pic:pic>
              </a:graphicData>
            </a:graphic>
          </wp:anchor>
        </w:drawing>
      </w:r>
    </w:p>
    <w:p>
      <w:pPr>
        <w:spacing w:after="0" w:line="15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482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8"/>
                <w:szCs w:val="18"/>
                <w:b w:val="1"/>
                <w:bCs w:val="1"/>
                <w:color w:val="auto"/>
              </w:rPr>
              <w:t>CUSIP No. M2239P109</w:t>
            </w:r>
          </w:p>
        </w:tc>
        <w:tc>
          <w:tcPr>
            <w:tcW w:w="2620" w:type="dxa"/>
            <w:vAlign w:val="bottom"/>
            <w:tcBorders>
              <w:right w:val="single" w:sz="8" w:color="auto"/>
            </w:tcBorders>
          </w:tcPr>
          <w:p>
            <w:pPr>
              <w:ind w:left="1040"/>
              <w:spacing w:after="0"/>
              <w:rPr>
                <w:sz w:val="20"/>
                <w:szCs w:val="20"/>
                <w:color w:val="auto"/>
              </w:rPr>
            </w:pPr>
            <w:r>
              <w:rPr>
                <w:rFonts w:ascii="Arial" w:cs="Arial" w:eastAsia="Arial" w:hAnsi="Arial"/>
                <w:sz w:val="18"/>
                <w:szCs w:val="18"/>
                <w:b w:val="1"/>
                <w:bCs w:val="1"/>
                <w:color w:val="auto"/>
              </w:rPr>
              <w:t>13G/A</w:t>
            </w:r>
          </w:p>
        </w:tc>
        <w:tc>
          <w:tcPr>
            <w:tcW w:w="398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Page 2 of 5 Pages</w:t>
            </w:r>
          </w:p>
        </w:tc>
      </w:tr>
    </w:tbl>
    <w:p>
      <w:pPr>
        <w:spacing w:after="0" w:line="215" w:lineRule="exact"/>
        <w:rPr>
          <w:sz w:val="20"/>
          <w:szCs w:val="20"/>
          <w:color w:val="auto"/>
        </w:rPr>
      </w:pPr>
    </w:p>
    <w:p>
      <w:pPr>
        <w:ind w:left="940" w:hanging="810"/>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Udi Gilboa</w:t>
      </w:r>
    </w:p>
    <w:p>
      <w:pPr>
        <w:spacing w:after="0" w:line="27" w:lineRule="exact"/>
        <w:rPr>
          <w:rFonts w:ascii="Arial" w:cs="Arial" w:eastAsia="Arial" w:hAnsi="Arial"/>
          <w:sz w:val="18"/>
          <w:szCs w:val="18"/>
          <w:b w:val="1"/>
          <w:bCs w:val="1"/>
          <w:color w:val="auto"/>
        </w:rPr>
      </w:pPr>
    </w:p>
    <w:p>
      <w:pPr>
        <w:ind w:left="940" w:right="5420" w:hanging="810"/>
        <w:spacing w:after="0" w:line="258" w:lineRule="auto"/>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ind w:left="1180" w:hanging="240"/>
        <w:spacing w:after="0" w:line="207" w:lineRule="exact"/>
        <w:tabs>
          <w:tab w:leader="none" w:pos="11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00" w:hanging="260"/>
        <w:spacing w:after="0" w:line="207" w:lineRule="exact"/>
        <w:tabs>
          <w:tab w:leader="none" w:pos="12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40" w:hanging="810"/>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940" w:hanging="810"/>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Israel</w:t>
      </w:r>
    </w:p>
    <w:p>
      <w:pPr>
        <w:spacing w:after="0" w:line="27" w:lineRule="exact"/>
        <w:rPr>
          <w:rFonts w:ascii="Arial" w:cs="Arial" w:eastAsia="Arial" w:hAnsi="Arial"/>
          <w:sz w:val="18"/>
          <w:szCs w:val="18"/>
          <w:b w:val="1"/>
          <w:bCs w:val="1"/>
          <w:color w:val="auto"/>
        </w:rPr>
      </w:pPr>
    </w:p>
    <w:p>
      <w:pPr>
        <w:ind w:left="2980" w:hanging="798"/>
        <w:spacing w:after="0"/>
        <w:tabs>
          <w:tab w:leader="none" w:pos="2980" w:val="left"/>
        </w:tabs>
        <w:numPr>
          <w:ilvl w:val="2"/>
          <w:numId w:val="2"/>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-2085975</wp:posOffset>
            </wp:positionV>
            <wp:extent cx="7246620" cy="5325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9"/>
              </w:rPr>
              <w:t>NUMBER OF</w:t>
            </w:r>
          </w:p>
        </w:tc>
        <w:tc>
          <w:tcPr>
            <w:tcW w:w="580" w:type="dxa"/>
            <w:vAlign w:val="bottom"/>
            <w:tcBorders>
              <w:bottom w:val="single" w:sz="8" w:color="auto"/>
            </w:tcBorders>
          </w:tcPr>
          <w:p>
            <w:pPr>
              <w:spacing w:after="0"/>
              <w:rPr>
                <w:sz w:val="20"/>
                <w:szCs w:val="20"/>
                <w:color w:val="auto"/>
              </w:rPr>
            </w:pPr>
          </w:p>
        </w:tc>
        <w:tc>
          <w:tcPr>
            <w:tcW w:w="87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2,360,816</w:t>
            </w:r>
          </w:p>
        </w:tc>
        <w:tc>
          <w:tcPr>
            <w:tcW w:w="0" w:type="dxa"/>
            <w:vAlign w:val="bottom"/>
          </w:tcPr>
          <w:p>
            <w:pPr>
              <w:spacing w:after="0"/>
              <w:rPr>
                <w:sz w:val="1"/>
                <w:szCs w:val="1"/>
                <w:color w:val="auto"/>
              </w:rPr>
            </w:pPr>
          </w:p>
        </w:tc>
      </w:tr>
      <w:tr>
        <w:trPr>
          <w:trHeight w:val="83"/>
        </w:trPr>
        <w:tc>
          <w:tcPr>
            <w:tcW w:w="1700" w:type="dxa"/>
            <w:vAlign w:val="bottom"/>
            <w:vMerge w:val="continue"/>
          </w:tcPr>
          <w:p>
            <w:pPr>
              <w:spacing w:after="0"/>
              <w:rPr>
                <w:sz w:val="7"/>
                <w:szCs w:val="7"/>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6.</w:t>
            </w:r>
          </w:p>
        </w:tc>
        <w:tc>
          <w:tcPr>
            <w:tcW w:w="878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5"/>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5"/>
              </w:rPr>
              <w:t>SHARES</w:t>
            </w:r>
          </w:p>
        </w:tc>
        <w:tc>
          <w:tcPr>
            <w:tcW w:w="580" w:type="dxa"/>
            <w:vAlign w:val="bottom"/>
            <w:vMerge w:val="continue"/>
          </w:tcPr>
          <w:p>
            <w:pPr>
              <w:spacing w:after="0"/>
              <w:rPr>
                <w:sz w:val="12"/>
                <w:szCs w:val="12"/>
                <w:color w:val="auto"/>
              </w:rPr>
            </w:pPr>
          </w:p>
        </w:tc>
        <w:tc>
          <w:tcPr>
            <w:tcW w:w="8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7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rPr>
              <w:t>BENEFICIALLY</w:t>
            </w:r>
          </w:p>
        </w:tc>
        <w:tc>
          <w:tcPr>
            <w:tcW w:w="580" w:type="dxa"/>
            <w:vAlign w:val="bottom"/>
          </w:tcPr>
          <w:p>
            <w:pPr>
              <w:spacing w:after="0"/>
              <w:rPr>
                <w:sz w:val="18"/>
                <w:szCs w:val="18"/>
                <w:color w:val="auto"/>
              </w:rPr>
            </w:pPr>
          </w:p>
        </w:tc>
        <w:tc>
          <w:tcPr>
            <w:tcW w:w="87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6"/>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rPr>
              <w:t>OWNED BY</w:t>
            </w:r>
          </w:p>
        </w:tc>
        <w:tc>
          <w:tcPr>
            <w:tcW w:w="58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0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7.</w:t>
            </w:r>
          </w:p>
        </w:tc>
        <w:tc>
          <w:tcPr>
            <w:tcW w:w="8780" w:type="dxa"/>
            <w:vAlign w:val="bottom"/>
            <w:vMerge w:val="restart"/>
          </w:tcPr>
          <w:p>
            <w:pPr>
              <w:ind w:left="3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8"/>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rPr>
              <w:t>EACH</w:t>
            </w:r>
          </w:p>
        </w:tc>
        <w:tc>
          <w:tcPr>
            <w:tcW w:w="580" w:type="dxa"/>
            <w:vAlign w:val="bottom"/>
            <w:vMerge w:val="continue"/>
          </w:tcPr>
          <w:p>
            <w:pPr>
              <w:spacing w:after="0"/>
              <w:rPr>
                <w:sz w:val="13"/>
                <w:szCs w:val="13"/>
                <w:color w:val="auto"/>
              </w:rPr>
            </w:pPr>
          </w:p>
        </w:tc>
        <w:tc>
          <w:tcPr>
            <w:tcW w:w="8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rPr>
              <w:t>REPORTING</w:t>
            </w:r>
          </w:p>
        </w:tc>
        <w:tc>
          <w:tcPr>
            <w:tcW w:w="580" w:type="dxa"/>
            <w:vAlign w:val="bottom"/>
          </w:tcPr>
          <w:p>
            <w:pPr>
              <w:spacing w:after="0"/>
              <w:rPr>
                <w:sz w:val="18"/>
                <w:szCs w:val="18"/>
                <w:color w:val="auto"/>
              </w:rPr>
            </w:pPr>
          </w:p>
        </w:tc>
        <w:tc>
          <w:tcPr>
            <w:tcW w:w="87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2,360,816</w:t>
            </w:r>
          </w:p>
        </w:tc>
        <w:tc>
          <w:tcPr>
            <w:tcW w:w="0" w:type="dxa"/>
            <w:vAlign w:val="bottom"/>
          </w:tcPr>
          <w:p>
            <w:pPr>
              <w:spacing w:after="0"/>
              <w:rPr>
                <w:sz w:val="1"/>
                <w:szCs w:val="1"/>
                <w:color w:val="auto"/>
              </w:rPr>
            </w:pPr>
          </w:p>
        </w:tc>
      </w:tr>
      <w:tr>
        <w:trPr>
          <w:trHeight w:val="140"/>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4"/>
              </w:rPr>
              <w:t>PERSON</w:t>
            </w:r>
          </w:p>
        </w:tc>
        <w:tc>
          <w:tcPr>
            <w:tcW w:w="580" w:type="dxa"/>
            <w:vAlign w:val="bottom"/>
            <w:tcBorders>
              <w:bottom w:val="single" w:sz="8" w:color="auto"/>
            </w:tcBorders>
          </w:tcPr>
          <w:p>
            <w:pPr>
              <w:spacing w:after="0"/>
              <w:rPr>
                <w:sz w:val="12"/>
                <w:szCs w:val="12"/>
                <w:color w:val="auto"/>
              </w:rPr>
            </w:pPr>
          </w:p>
        </w:tc>
        <w:tc>
          <w:tcPr>
            <w:tcW w:w="8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700" w:type="dxa"/>
            <w:vAlign w:val="bottom"/>
            <w:vMerge w:val="continue"/>
          </w:tcPr>
          <w:p>
            <w:pPr>
              <w:spacing w:after="0"/>
              <w:rPr>
                <w:sz w:val="4"/>
                <w:szCs w:val="4"/>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8.</w:t>
            </w:r>
          </w:p>
        </w:tc>
        <w:tc>
          <w:tcPr>
            <w:tcW w:w="8780" w:type="dxa"/>
            <w:vAlign w:val="bottom"/>
            <w:vMerge w:val="restart"/>
          </w:tcPr>
          <w:p>
            <w:pPr>
              <w:ind w:left="3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2"/>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rPr>
              <w:t>WITH</w:t>
            </w:r>
          </w:p>
        </w:tc>
        <w:tc>
          <w:tcPr>
            <w:tcW w:w="580" w:type="dxa"/>
            <w:vAlign w:val="bottom"/>
            <w:vMerge w:val="continue"/>
          </w:tcPr>
          <w:p>
            <w:pPr>
              <w:spacing w:after="0"/>
              <w:rPr>
                <w:sz w:val="14"/>
                <w:szCs w:val="14"/>
                <w:color w:val="auto"/>
              </w:rPr>
            </w:pPr>
          </w:p>
        </w:tc>
        <w:tc>
          <w:tcPr>
            <w:tcW w:w="8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0</w:t>
      </w:r>
    </w:p>
    <w:p>
      <w:pPr>
        <w:spacing w:after="0" w:line="27" w:lineRule="exact"/>
        <w:rPr>
          <w:sz w:val="20"/>
          <w:szCs w:val="20"/>
          <w:color w:val="auto"/>
        </w:rPr>
      </w:pPr>
    </w:p>
    <w:p>
      <w:pPr>
        <w:ind w:left="940" w:hanging="810"/>
        <w:spacing w:after="0"/>
        <w:tabs>
          <w:tab w:leader="none" w:pos="9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0"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2,360,816</w:t>
      </w:r>
    </w:p>
    <w:p>
      <w:pPr>
        <w:spacing w:after="0" w:line="27" w:lineRule="exact"/>
        <w:rPr>
          <w:rFonts w:ascii="Arial" w:cs="Arial" w:eastAsia="Arial" w:hAnsi="Arial"/>
          <w:sz w:val="18"/>
          <w:szCs w:val="18"/>
          <w:b w:val="1"/>
          <w:bCs w:val="1"/>
          <w:color w:val="auto"/>
        </w:rPr>
      </w:pPr>
    </w:p>
    <w:p>
      <w:pPr>
        <w:ind w:left="940" w:right="5540" w:hanging="810"/>
        <w:spacing w:after="0" w:line="255" w:lineRule="auto"/>
        <w:tabs>
          <w:tab w:leader="none" w:pos="9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1"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940" w:hanging="810"/>
        <w:spacing w:after="0"/>
        <w:tabs>
          <w:tab w:leader="none" w:pos="9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05"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8.6%</w:t>
      </w:r>
    </w:p>
    <w:p>
      <w:pPr>
        <w:spacing w:after="0" w:line="27" w:lineRule="exact"/>
        <w:rPr>
          <w:rFonts w:ascii="Arial" w:cs="Arial" w:eastAsia="Arial" w:hAnsi="Arial"/>
          <w:sz w:val="18"/>
          <w:szCs w:val="18"/>
          <w:b w:val="1"/>
          <w:bCs w:val="1"/>
          <w:color w:val="auto"/>
        </w:rPr>
      </w:pPr>
    </w:p>
    <w:p>
      <w:pPr>
        <w:ind w:left="940" w:hanging="810"/>
        <w:spacing w:after="0"/>
        <w:tabs>
          <w:tab w:leader="none" w:pos="9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0"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9"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482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8"/>
                <w:szCs w:val="18"/>
                <w:b w:val="1"/>
                <w:bCs w:val="1"/>
                <w:color w:val="auto"/>
              </w:rPr>
              <w:t>CUSIP No. M2239P109</w:t>
            </w:r>
          </w:p>
        </w:tc>
        <w:tc>
          <w:tcPr>
            <w:tcW w:w="2620" w:type="dxa"/>
            <w:vAlign w:val="bottom"/>
            <w:tcBorders>
              <w:right w:val="single" w:sz="8" w:color="auto"/>
            </w:tcBorders>
          </w:tcPr>
          <w:p>
            <w:pPr>
              <w:ind w:left="1040"/>
              <w:spacing w:after="0"/>
              <w:rPr>
                <w:sz w:val="20"/>
                <w:szCs w:val="20"/>
                <w:color w:val="auto"/>
              </w:rPr>
            </w:pPr>
            <w:r>
              <w:rPr>
                <w:rFonts w:ascii="Arial" w:cs="Arial" w:eastAsia="Arial" w:hAnsi="Arial"/>
                <w:sz w:val="18"/>
                <w:szCs w:val="18"/>
                <w:b w:val="1"/>
                <w:bCs w:val="1"/>
                <w:color w:val="auto"/>
              </w:rPr>
              <w:t>13G/A</w:t>
            </w:r>
          </w:p>
        </w:tc>
        <w:tc>
          <w:tcPr>
            <w:tcW w:w="398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Page 3 of 5 Pages</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Alcobra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Azrieli Triangle Building, 39th Floor</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132 Derech Menachem Begin</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Tel Aviv 6701101 Israel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Statement is filed on behalf of Udi Gilboa (the “Reporting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Offices or, if None, Residence:</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address of the Reporting Person is: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35 Ahad Ha'am St.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 Aviv 6520206 Israel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Udi Gilboa is an Israeli citizen.</w:t>
      </w:r>
    </w:p>
    <w:p>
      <w:pPr>
        <w:spacing w:after="0" w:line="221"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Item 2(d). Title of Class of Securities: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Ordinary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the Statement is being filed pursuant to Rule 13d-1(b) or 13d-2(b) or (c), check whether the filing person is 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gridSpan w:val="2"/>
          </w:tcPr>
          <w:p>
            <w:pPr>
              <w:ind w:left="820"/>
              <w:spacing w:after="0"/>
              <w:rPr>
                <w:sz w:val="20"/>
                <w:szCs w:val="20"/>
                <w:color w:val="auto"/>
              </w:rPr>
            </w:pPr>
            <w:r>
              <w:rPr>
                <w:rFonts w:ascii="Arial" w:cs="Arial" w:eastAsia="Arial" w:hAnsi="Arial"/>
                <w:sz w:val="18"/>
                <w:szCs w:val="18"/>
                <w:color w:val="auto"/>
                <w:w w:val="94"/>
              </w:rPr>
              <w:t>Not applicable.</w:t>
            </w:r>
          </w:p>
        </w:tc>
        <w:tc>
          <w:tcPr>
            <w:tcW w:w="9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ind w:left="820"/>
              <w:spacing w:after="0"/>
              <w:rPr>
                <w:sz w:val="20"/>
                <w:szCs w:val="20"/>
                <w:color w:val="auto"/>
              </w:rPr>
            </w:pPr>
            <w:r>
              <w:rPr>
                <w:rFonts w:ascii="Arial" w:cs="Arial" w:eastAsia="Arial" w:hAnsi="Arial"/>
                <w:sz w:val="18"/>
                <w:szCs w:val="18"/>
                <w:color w:val="auto"/>
              </w:rPr>
              <w:t>(a)</w:t>
            </w:r>
          </w:p>
        </w:tc>
        <w:tc>
          <w:tcPr>
            <w:tcW w:w="600" w:type="dxa"/>
            <w:vAlign w:val="bottom"/>
            <w:tcBorders>
              <w:bottom w:val="single" w:sz="8" w:color="auto"/>
            </w:tcBorders>
          </w:tcPr>
          <w:p>
            <w:pPr>
              <w:spacing w:after="0"/>
              <w:rPr>
                <w:sz w:val="21"/>
                <w:szCs w:val="21"/>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Broker or dealer registered under section 15 of the Act (15 U.S.C. 78o);</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ind w:left="820"/>
              <w:spacing w:after="0"/>
              <w:rPr>
                <w:sz w:val="20"/>
                <w:szCs w:val="20"/>
                <w:color w:val="auto"/>
              </w:rPr>
            </w:pPr>
            <w:r>
              <w:rPr>
                <w:rFonts w:ascii="Arial" w:cs="Arial" w:eastAsia="Arial" w:hAnsi="Arial"/>
                <w:sz w:val="18"/>
                <w:szCs w:val="18"/>
                <w:color w:val="auto"/>
              </w:rPr>
              <w:t>(b)</w:t>
            </w:r>
          </w:p>
        </w:tc>
        <w:tc>
          <w:tcPr>
            <w:tcW w:w="600" w:type="dxa"/>
            <w:vAlign w:val="bottom"/>
            <w:tcBorders>
              <w:bottom w:val="single" w:sz="8" w:color="auto"/>
            </w:tcBorders>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Bank as defined in section 3(a)(6) of the Act (15 U.S.C. 78c);</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ind w:left="820"/>
              <w:spacing w:after="0"/>
              <w:rPr>
                <w:sz w:val="20"/>
                <w:szCs w:val="20"/>
                <w:color w:val="auto"/>
              </w:rPr>
            </w:pPr>
            <w:r>
              <w:rPr>
                <w:rFonts w:ascii="Arial" w:cs="Arial" w:eastAsia="Arial" w:hAnsi="Arial"/>
                <w:sz w:val="18"/>
                <w:szCs w:val="18"/>
                <w:color w:val="auto"/>
              </w:rPr>
              <w:t>(c)</w:t>
            </w:r>
          </w:p>
        </w:tc>
        <w:tc>
          <w:tcPr>
            <w:tcW w:w="600" w:type="dxa"/>
            <w:vAlign w:val="bottom"/>
            <w:tcBorders>
              <w:bottom w:val="single" w:sz="8" w:color="auto"/>
            </w:tcBorders>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Insurance company as defined in section 3(a)(19) of the Act (15 U.S.C. 78c);</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ind w:left="820"/>
              <w:spacing w:after="0"/>
              <w:rPr>
                <w:sz w:val="20"/>
                <w:szCs w:val="20"/>
                <w:color w:val="auto"/>
              </w:rPr>
            </w:pPr>
            <w:r>
              <w:rPr>
                <w:rFonts w:ascii="Arial" w:cs="Arial" w:eastAsia="Arial" w:hAnsi="Arial"/>
                <w:sz w:val="18"/>
                <w:szCs w:val="18"/>
                <w:color w:val="auto"/>
              </w:rPr>
              <w:t>(d)</w:t>
            </w:r>
          </w:p>
        </w:tc>
        <w:tc>
          <w:tcPr>
            <w:tcW w:w="600" w:type="dxa"/>
            <w:vAlign w:val="bottom"/>
            <w:tcBorders>
              <w:bottom w:val="single" w:sz="8" w:color="auto"/>
            </w:tcBorders>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ind w:left="820"/>
              <w:spacing w:after="0"/>
              <w:rPr>
                <w:sz w:val="20"/>
                <w:szCs w:val="20"/>
                <w:color w:val="auto"/>
              </w:rPr>
            </w:pPr>
            <w:r>
              <w:rPr>
                <w:rFonts w:ascii="Arial" w:cs="Arial" w:eastAsia="Arial" w:hAnsi="Arial"/>
                <w:sz w:val="18"/>
                <w:szCs w:val="18"/>
                <w:color w:val="auto"/>
              </w:rPr>
              <w:t>(e)</w:t>
            </w:r>
          </w:p>
        </w:tc>
        <w:tc>
          <w:tcPr>
            <w:tcW w:w="600" w:type="dxa"/>
            <w:vAlign w:val="bottom"/>
            <w:tcBorders>
              <w:bottom w:val="single" w:sz="8" w:color="auto"/>
            </w:tcBorders>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An investment adviser in accordance with §240.13d-1(b)(1)(ii)(E);</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ind w:left="820"/>
              <w:spacing w:after="0"/>
              <w:rPr>
                <w:sz w:val="20"/>
                <w:szCs w:val="20"/>
                <w:color w:val="auto"/>
              </w:rPr>
            </w:pPr>
            <w:r>
              <w:rPr>
                <w:rFonts w:ascii="Arial" w:cs="Arial" w:eastAsia="Arial" w:hAnsi="Arial"/>
                <w:sz w:val="18"/>
                <w:szCs w:val="18"/>
                <w:color w:val="auto"/>
              </w:rPr>
              <w:t>(f)</w:t>
            </w:r>
          </w:p>
        </w:tc>
        <w:tc>
          <w:tcPr>
            <w:tcW w:w="600" w:type="dxa"/>
            <w:vAlign w:val="bottom"/>
            <w:tcBorders>
              <w:bottom w:val="single" w:sz="8" w:color="auto"/>
            </w:tcBorders>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An employee benefit plan or endowment fund in accordance with §240.13d-1(b)(1)(ii)(F);</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ind w:left="820"/>
              <w:spacing w:after="0"/>
              <w:rPr>
                <w:sz w:val="20"/>
                <w:szCs w:val="20"/>
                <w:color w:val="auto"/>
              </w:rPr>
            </w:pPr>
            <w:r>
              <w:rPr>
                <w:rFonts w:ascii="Arial" w:cs="Arial" w:eastAsia="Arial" w:hAnsi="Arial"/>
                <w:sz w:val="18"/>
                <w:szCs w:val="18"/>
                <w:color w:val="auto"/>
              </w:rPr>
              <w:t>(g)</w:t>
            </w:r>
          </w:p>
        </w:tc>
        <w:tc>
          <w:tcPr>
            <w:tcW w:w="600" w:type="dxa"/>
            <w:vAlign w:val="bottom"/>
            <w:tcBorders>
              <w:bottom w:val="single" w:sz="8" w:color="auto"/>
            </w:tcBorders>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A parent holding company or control person in accordance with §240.13d-1(b)(1)(ii)(G);</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ind w:left="820"/>
              <w:spacing w:after="0"/>
              <w:rPr>
                <w:sz w:val="20"/>
                <w:szCs w:val="20"/>
                <w:color w:val="auto"/>
              </w:rPr>
            </w:pPr>
            <w:r>
              <w:rPr>
                <w:rFonts w:ascii="Arial" w:cs="Arial" w:eastAsia="Arial" w:hAnsi="Arial"/>
                <w:sz w:val="18"/>
                <w:szCs w:val="18"/>
                <w:color w:val="auto"/>
              </w:rPr>
              <w:t>(h)</w:t>
            </w:r>
          </w:p>
        </w:tc>
        <w:tc>
          <w:tcPr>
            <w:tcW w:w="600" w:type="dxa"/>
            <w:vAlign w:val="bottom"/>
            <w:tcBorders>
              <w:bottom w:val="single" w:sz="8" w:color="auto"/>
            </w:tcBorders>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A savings association as defined in Section 3(b) of the Federal Deposit Insurance Act (12 U.S.C. 1813);</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ind w:left="820"/>
              <w:spacing w:after="0"/>
              <w:rPr>
                <w:sz w:val="20"/>
                <w:szCs w:val="20"/>
                <w:color w:val="auto"/>
              </w:rPr>
            </w:pPr>
            <w:r>
              <w:rPr>
                <w:rFonts w:ascii="Arial" w:cs="Arial" w:eastAsia="Arial" w:hAnsi="Arial"/>
                <w:sz w:val="18"/>
                <w:szCs w:val="18"/>
                <w:color w:val="auto"/>
              </w:rPr>
              <w:t>(i)</w:t>
            </w:r>
          </w:p>
        </w:tc>
        <w:tc>
          <w:tcPr>
            <w:tcW w:w="600" w:type="dxa"/>
            <w:vAlign w:val="bottom"/>
            <w:tcBorders>
              <w:bottom w:val="single" w:sz="8" w:color="auto"/>
            </w:tcBorders>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A church plan that is excluded from the definition of an investment company under Section</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tcPr>
          <w:p>
            <w:pPr>
              <w:ind w:left="160"/>
              <w:spacing w:after="0" w:line="203" w:lineRule="exact"/>
              <w:rPr>
                <w:sz w:val="20"/>
                <w:szCs w:val="20"/>
                <w:color w:val="auto"/>
              </w:rPr>
            </w:pPr>
            <w:r>
              <w:rPr>
                <w:rFonts w:ascii="Arial" w:cs="Arial" w:eastAsia="Arial" w:hAnsi="Arial"/>
                <w:sz w:val="18"/>
                <w:szCs w:val="18"/>
                <w:color w:val="auto"/>
              </w:rPr>
              <w:t>3(c)(14) of the Investment Company Act (15 U.S.C. 80a-3);</w:t>
            </w:r>
          </w:p>
        </w:tc>
        <w:tc>
          <w:tcPr>
            <w:tcW w:w="0" w:type="dxa"/>
            <w:vAlign w:val="bottom"/>
          </w:tcPr>
          <w:p>
            <w:pPr>
              <w:spacing w:after="0"/>
              <w:rPr>
                <w:sz w:val="1"/>
                <w:szCs w:val="1"/>
                <w:color w:val="auto"/>
              </w:rPr>
            </w:pPr>
          </w:p>
        </w:tc>
      </w:tr>
      <w:tr>
        <w:trPr>
          <w:trHeight w:val="229"/>
        </w:trPr>
        <w:tc>
          <w:tcPr>
            <w:tcW w:w="1380" w:type="dxa"/>
            <w:vAlign w:val="bottom"/>
            <w:vMerge w:val="restart"/>
          </w:tcPr>
          <w:p>
            <w:pPr>
              <w:ind w:left="820"/>
              <w:spacing w:after="0"/>
              <w:rPr>
                <w:sz w:val="20"/>
                <w:szCs w:val="20"/>
                <w:color w:val="auto"/>
              </w:rPr>
            </w:pPr>
            <w:r>
              <w:rPr>
                <w:rFonts w:ascii="Arial" w:cs="Arial" w:eastAsia="Arial" w:hAnsi="Arial"/>
                <w:sz w:val="18"/>
                <w:szCs w:val="18"/>
                <w:color w:val="auto"/>
              </w:rPr>
              <w:t>(j)</w:t>
            </w:r>
          </w:p>
        </w:tc>
        <w:tc>
          <w:tcPr>
            <w:tcW w:w="600" w:type="dxa"/>
            <w:vAlign w:val="bottom"/>
            <w:tcBorders>
              <w:bottom w:val="single" w:sz="8" w:color="auto"/>
            </w:tcBorders>
          </w:tcPr>
          <w:p>
            <w:pPr>
              <w:spacing w:after="0"/>
              <w:rPr>
                <w:sz w:val="19"/>
                <w:szCs w:val="19"/>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A non-U.S. institution in accordance with § 240.13d-1(b)(1)(ii)(J);</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ind w:left="820"/>
              <w:spacing w:after="0"/>
              <w:rPr>
                <w:sz w:val="20"/>
                <w:szCs w:val="20"/>
                <w:color w:val="auto"/>
              </w:rPr>
            </w:pPr>
            <w:r>
              <w:rPr>
                <w:rFonts w:ascii="Arial" w:cs="Arial" w:eastAsia="Arial" w:hAnsi="Arial"/>
                <w:sz w:val="18"/>
                <w:szCs w:val="18"/>
                <w:color w:val="auto"/>
              </w:rPr>
              <w:t>(k)</w:t>
            </w:r>
          </w:p>
        </w:tc>
        <w:tc>
          <w:tcPr>
            <w:tcW w:w="600" w:type="dxa"/>
            <w:vAlign w:val="bottom"/>
            <w:tcBorders>
              <w:bottom w:val="single" w:sz="8" w:color="auto"/>
            </w:tcBorders>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Group, in accordance with §240.13d-1(b)(1)(ii)(K).</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_________________________________________________________</w:t>
            </w:r>
          </w:p>
        </w:tc>
        <w:tc>
          <w:tcPr>
            <w:tcW w:w="0" w:type="dxa"/>
            <w:vAlign w:val="bottom"/>
          </w:tcPr>
          <w:p>
            <w:pPr>
              <w:spacing w:after="0"/>
              <w:rPr>
                <w:sz w:val="1"/>
                <w:szCs w:val="1"/>
                <w:color w:val="auto"/>
              </w:rPr>
            </w:pPr>
          </w:p>
        </w:tc>
      </w:tr>
      <w:tr>
        <w:trPr>
          <w:trHeight w:val="702"/>
        </w:trPr>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84"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82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8"/>
                <w:szCs w:val="18"/>
                <w:b w:val="1"/>
                <w:bCs w:val="1"/>
                <w:color w:val="auto"/>
              </w:rPr>
              <w:t>CUSIP No. M2239P109</w:t>
            </w:r>
          </w:p>
        </w:tc>
        <w:tc>
          <w:tcPr>
            <w:tcW w:w="2620" w:type="dxa"/>
            <w:vAlign w:val="bottom"/>
            <w:tcBorders>
              <w:right w:val="single" w:sz="8" w:color="auto"/>
            </w:tcBorders>
          </w:tcPr>
          <w:p>
            <w:pPr>
              <w:ind w:left="1040"/>
              <w:spacing w:after="0"/>
              <w:rPr>
                <w:sz w:val="20"/>
                <w:szCs w:val="20"/>
                <w:color w:val="auto"/>
              </w:rPr>
            </w:pPr>
            <w:r>
              <w:rPr>
                <w:rFonts w:ascii="Arial" w:cs="Arial" w:eastAsia="Arial" w:hAnsi="Arial"/>
                <w:sz w:val="18"/>
                <w:szCs w:val="18"/>
                <w:b w:val="1"/>
                <w:bCs w:val="1"/>
                <w:color w:val="auto"/>
              </w:rPr>
              <w:t>13G/A</w:t>
            </w:r>
          </w:p>
        </w:tc>
        <w:tc>
          <w:tcPr>
            <w:tcW w:w="398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Page 4 of 5 Pages</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0" w:lineRule="exact"/>
        <w:rPr>
          <w:sz w:val="20"/>
          <w:szCs w:val="20"/>
          <w:color w:val="auto"/>
        </w:rPr>
      </w:pPr>
    </w:p>
    <w:p>
      <w:pPr>
        <w:spacing w:after="0" w:line="245" w:lineRule="exact"/>
        <w:rPr>
          <w:sz w:val="20"/>
          <w:szCs w:val="20"/>
          <w:color w:val="auto"/>
        </w:rPr>
      </w:pPr>
    </w:p>
    <w:p>
      <w:pPr>
        <w:ind w:left="1880" w:right="7980" w:hanging="1062"/>
        <w:spacing w:after="0" w:line="563" w:lineRule="auto"/>
        <w:tabs>
          <w:tab w:leader="none" w:pos="1394"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 beneficially owned: 2,360,816 shares</w:t>
      </w:r>
    </w:p>
    <w:p>
      <w:pPr>
        <w:spacing w:after="0" w:line="1" w:lineRule="exact"/>
        <w:rPr>
          <w:rFonts w:ascii="Arial" w:cs="Arial" w:eastAsia="Arial" w:hAnsi="Arial"/>
          <w:sz w:val="16"/>
          <w:szCs w:val="16"/>
          <w:color w:val="auto"/>
        </w:rPr>
      </w:pPr>
    </w:p>
    <w:p>
      <w:pPr>
        <w:ind w:left="1380" w:hanging="562"/>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8.6%</w:t>
      </w:r>
    </w:p>
    <w:p>
      <w:pPr>
        <w:spacing w:after="0" w:line="225" w:lineRule="exact"/>
        <w:rPr>
          <w:sz w:val="20"/>
          <w:szCs w:val="20"/>
          <w:color w:val="auto"/>
        </w:rPr>
      </w:pPr>
    </w:p>
    <w:p>
      <w:pPr>
        <w:ind w:left="1380" w:hanging="56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80" w:hanging="56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the vote: 2,360,816 shares</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2,360,816 shares</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580" w:right="3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had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80" w:right="480" w:hanging="58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840" w:hanging="251"/>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840" w:hanging="251"/>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840" w:hanging="251"/>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482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8"/>
                <w:szCs w:val="18"/>
                <w:b w:val="1"/>
                <w:bCs w:val="1"/>
                <w:color w:val="auto"/>
              </w:rPr>
              <w:t>CUSIP No. M2239P109</w:t>
            </w:r>
          </w:p>
        </w:tc>
        <w:tc>
          <w:tcPr>
            <w:tcW w:w="2620" w:type="dxa"/>
            <w:vAlign w:val="bottom"/>
            <w:tcBorders>
              <w:right w:val="single" w:sz="8" w:color="auto"/>
            </w:tcBorders>
          </w:tcPr>
          <w:p>
            <w:pPr>
              <w:ind w:left="1040"/>
              <w:spacing w:after="0"/>
              <w:rPr>
                <w:sz w:val="20"/>
                <w:szCs w:val="20"/>
                <w:color w:val="auto"/>
              </w:rPr>
            </w:pPr>
            <w:r>
              <w:rPr>
                <w:rFonts w:ascii="Arial" w:cs="Arial" w:eastAsia="Arial" w:hAnsi="Arial"/>
                <w:sz w:val="18"/>
                <w:szCs w:val="18"/>
                <w:b w:val="1"/>
                <w:bCs w:val="1"/>
                <w:color w:val="auto"/>
              </w:rPr>
              <w:t>13G/A</w:t>
            </w:r>
          </w:p>
        </w:tc>
        <w:tc>
          <w:tcPr>
            <w:tcW w:w="398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Page 5 of 5 Pages</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February 16, 2016</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Udi Gilboa</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-130810</wp:posOffset>
            </wp:positionV>
            <wp:extent cx="3833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Attention. </w:t>
      </w:r>
      <w:r>
        <w:rPr>
          <w:rFonts w:ascii="Arial" w:cs="Arial" w:eastAsia="Arial" w:hAnsi="Arial"/>
          <w:sz w:val="18"/>
          <w:szCs w:val="18"/>
          <w:color w:val="auto"/>
        </w:rPr>
        <w:t>Intentional misstatements or omissions of fact constitute Federal criminal violations (s</w:t>
      </w:r>
      <w:r>
        <w:rPr>
          <w:rFonts w:ascii="Arial" w:cs="Arial" w:eastAsia="Arial" w:hAnsi="Arial"/>
          <w:sz w:val="18"/>
          <w:szCs w:val="18"/>
          <w:i w:val="1"/>
          <w:iCs w:val="1"/>
          <w:color w:val="auto"/>
        </w:rPr>
        <w:t xml:space="preserve">ee </w:t>
      </w:r>
      <w:r>
        <w:rPr>
          <w:rFonts w:ascii="Arial" w:cs="Arial" w:eastAsia="Arial" w:hAnsi="Arial"/>
          <w:sz w:val="18"/>
          <w:szCs w:val="18"/>
          <w:color w:val="auto"/>
        </w:rPr>
        <w:t>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X"/>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2019-12-08T23:39:23Z</dcterms:created>
  <dcterms:modified xsi:type="dcterms:W3CDTF">2019-12-08T23:39:23Z</dcterms:modified>
</cp:coreProperties>
</file>