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February 2016</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tabs>
          <w:tab w:leader="none" w:pos="1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76" w:right="1440" w:bottom="1440" w:gutter="0" w:footer="0" w:header="0"/>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Attached hereto and incorporated by reference herein is the registrant's press release issued on February 17, 2016, announcing its financial results for the fourth quarter ended December 31, 2015.</w:t>
      </w:r>
    </w:p>
    <w:p>
      <w:pPr>
        <w:spacing w:after="0" w:line="170"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The GAAP financial statements in this Form 6-K of the registrant are incorporated by reference into the Registration Statements on Form F-3 (File No. 333-197411) and Forms S-8 (File No. 333-194875 and File No. 333-202394) of the registrant, filed with the Securities and Exchange Commission, to be a part thereof from the date on which this report is submitted, to the extent not superseded by documents or reports subsequently filed or furnished.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w:t>
      </w:r>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Alcobra Ltd. on February 17, 2016, announcing its financial results for the fourth quarter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Dr. Yaron Daniely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9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154940</wp:posOffset>
            </wp:positionV>
            <wp:extent cx="1277620" cy="523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762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00" w:type="dxa"/>
            <w:vAlign w:val="bottom"/>
          </w:tcPr>
          <w:p>
            <w:pPr>
              <w:spacing w:after="0"/>
              <w:rPr>
                <w:sz w:val="20"/>
                <w:szCs w:val="20"/>
                <w:color w:val="auto"/>
              </w:rPr>
            </w:pPr>
            <w:r>
              <w:rPr>
                <w:rFonts w:ascii="Arial" w:cs="Arial" w:eastAsia="Arial" w:hAnsi="Arial"/>
                <w:sz w:val="18"/>
                <w:szCs w:val="18"/>
                <w:b w:val="1"/>
                <w:bCs w:val="1"/>
                <w:color w:val="auto"/>
              </w:rPr>
              <w:t>U.S. Investor Contacts</w:t>
            </w:r>
          </w:p>
        </w:tc>
        <w:tc>
          <w:tcPr>
            <w:tcW w:w="3620" w:type="dxa"/>
            <w:vAlign w:val="bottom"/>
          </w:tcPr>
          <w:p>
            <w:pPr>
              <w:ind w:left="1000"/>
              <w:spacing w:after="0"/>
              <w:rPr>
                <w:sz w:val="20"/>
                <w:szCs w:val="20"/>
                <w:color w:val="auto"/>
              </w:rPr>
            </w:pPr>
            <w:r>
              <w:rPr>
                <w:rFonts w:ascii="Arial" w:cs="Arial" w:eastAsia="Arial" w:hAnsi="Arial"/>
                <w:sz w:val="18"/>
                <w:szCs w:val="18"/>
                <w:b w:val="1"/>
                <w:bCs w:val="1"/>
                <w:color w:val="auto"/>
              </w:rPr>
              <w:t>Media Inquiries</w:t>
            </w:r>
          </w:p>
        </w:tc>
        <w:tc>
          <w:tcPr>
            <w:tcW w:w="2720" w:type="dxa"/>
            <w:vAlign w:val="bottom"/>
          </w:tcPr>
          <w:p>
            <w:pPr>
              <w:ind w:left="580"/>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LifeSci Advisors, LLC</w:t>
            </w:r>
          </w:p>
        </w:tc>
        <w:tc>
          <w:tcPr>
            <w:tcW w:w="3620" w:type="dxa"/>
            <w:vAlign w:val="bottom"/>
          </w:tcPr>
          <w:p>
            <w:pPr>
              <w:ind w:left="1000"/>
              <w:spacing w:after="0"/>
              <w:rPr>
                <w:sz w:val="20"/>
                <w:szCs w:val="20"/>
                <w:color w:val="auto"/>
              </w:rPr>
            </w:pPr>
            <w:r>
              <w:rPr>
                <w:rFonts w:ascii="Arial" w:cs="Arial" w:eastAsia="Arial" w:hAnsi="Arial"/>
                <w:sz w:val="18"/>
                <w:szCs w:val="18"/>
                <w:color w:val="auto"/>
              </w:rPr>
              <w:t>Sam Brown, Inc.</w:t>
            </w:r>
          </w:p>
        </w:tc>
        <w:tc>
          <w:tcPr>
            <w:tcW w:w="2720" w:type="dxa"/>
            <w:vAlign w:val="bottom"/>
          </w:tcPr>
          <w:p>
            <w:pPr>
              <w:ind w:left="580"/>
              <w:spacing w:after="0"/>
              <w:rPr>
                <w:sz w:val="20"/>
                <w:szCs w:val="20"/>
                <w:color w:val="auto"/>
              </w:rPr>
            </w:pPr>
            <w:r>
              <w:rPr>
                <w:rFonts w:ascii="Arial" w:cs="Arial" w:eastAsia="Arial" w:hAnsi="Arial"/>
                <w:sz w:val="18"/>
                <w:szCs w:val="18"/>
                <w:color w:val="auto"/>
              </w:rPr>
              <w:t>Alcobra Investor Relations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Michael Rice</w:t>
            </w:r>
          </w:p>
        </w:tc>
        <w:tc>
          <w:tcPr>
            <w:tcW w:w="3620" w:type="dxa"/>
            <w:vAlign w:val="bottom"/>
          </w:tcPr>
          <w:p>
            <w:pPr>
              <w:ind w:left="1000"/>
              <w:spacing w:after="0"/>
              <w:rPr>
                <w:sz w:val="20"/>
                <w:szCs w:val="20"/>
                <w:color w:val="auto"/>
              </w:rPr>
            </w:pPr>
            <w:r>
              <w:rPr>
                <w:rFonts w:ascii="Arial" w:cs="Arial" w:eastAsia="Arial" w:hAnsi="Arial"/>
                <w:sz w:val="18"/>
                <w:szCs w:val="18"/>
                <w:color w:val="auto"/>
              </w:rPr>
              <w:t>Mike Beyer</w:t>
            </w:r>
          </w:p>
        </w:tc>
        <w:tc>
          <w:tcPr>
            <w:tcW w:w="2720" w:type="dxa"/>
            <w:vAlign w:val="bottom"/>
          </w:tcPr>
          <w:p>
            <w:pPr>
              <w:ind w:left="580"/>
              <w:spacing w:after="0"/>
              <w:rPr>
                <w:sz w:val="20"/>
                <w:szCs w:val="20"/>
                <w:color w:val="auto"/>
              </w:rPr>
            </w:pPr>
            <w:r>
              <w:rPr>
                <w:rFonts w:ascii="Arial" w:cs="Arial" w:eastAsia="Arial" w:hAnsi="Arial"/>
                <w:sz w:val="18"/>
                <w:szCs w:val="18"/>
                <w:color w:val="auto"/>
              </w:rPr>
              <w:t>Debbie Kaye</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646-597-6979</w:t>
            </w:r>
          </w:p>
        </w:tc>
        <w:tc>
          <w:tcPr>
            <w:tcW w:w="3620" w:type="dxa"/>
            <w:vAlign w:val="bottom"/>
          </w:tcPr>
          <w:p>
            <w:pPr>
              <w:ind w:left="1000"/>
              <w:spacing w:after="0"/>
              <w:rPr>
                <w:sz w:val="20"/>
                <w:szCs w:val="20"/>
                <w:color w:val="auto"/>
              </w:rPr>
            </w:pPr>
            <w:r>
              <w:rPr>
                <w:rFonts w:ascii="Arial" w:cs="Arial" w:eastAsia="Arial" w:hAnsi="Arial"/>
                <w:sz w:val="18"/>
                <w:szCs w:val="18"/>
                <w:color w:val="auto"/>
              </w:rPr>
              <w:t>773-463-4211</w:t>
            </w:r>
          </w:p>
        </w:tc>
        <w:tc>
          <w:tcPr>
            <w:tcW w:w="2720" w:type="dxa"/>
            <w:vAlign w:val="bottom"/>
          </w:tcPr>
          <w:p>
            <w:pPr>
              <w:ind w:left="580"/>
              <w:spacing w:after="0"/>
              <w:rPr>
                <w:sz w:val="20"/>
                <w:szCs w:val="20"/>
                <w:color w:val="auto"/>
              </w:rPr>
            </w:pPr>
            <w:r>
              <w:rPr>
                <w:rFonts w:ascii="Arial" w:cs="Arial" w:eastAsia="Arial" w:hAnsi="Arial"/>
                <w:sz w:val="18"/>
                <w:szCs w:val="18"/>
                <w:color w:val="auto"/>
              </w:rPr>
              <w:t>+972-72 2204661</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mrice@lifesciadvisors.com</w:t>
            </w:r>
          </w:p>
        </w:tc>
        <w:tc>
          <w:tcPr>
            <w:tcW w:w="3620" w:type="dxa"/>
            <w:vAlign w:val="bottom"/>
          </w:tcPr>
          <w:p>
            <w:pPr>
              <w:ind w:left="1000"/>
              <w:spacing w:after="0"/>
              <w:rPr>
                <w:sz w:val="20"/>
                <w:szCs w:val="20"/>
                <w:color w:val="auto"/>
              </w:rPr>
            </w:pPr>
            <w:r>
              <w:rPr>
                <w:rFonts w:ascii="Arial" w:cs="Arial" w:eastAsia="Arial" w:hAnsi="Arial"/>
                <w:sz w:val="18"/>
                <w:szCs w:val="18"/>
                <w:color w:val="auto"/>
              </w:rPr>
              <w:t>mikebeyer@sambrown.com</w:t>
            </w:r>
          </w:p>
        </w:tc>
        <w:tc>
          <w:tcPr>
            <w:tcW w:w="2720" w:type="dxa"/>
            <w:vAlign w:val="bottom"/>
          </w:tcPr>
          <w:p>
            <w:pPr>
              <w:ind w:left="580"/>
              <w:spacing w:after="0"/>
              <w:rPr>
                <w:sz w:val="20"/>
                <w:szCs w:val="20"/>
                <w:color w:val="auto"/>
              </w:rPr>
            </w:pPr>
            <w:r>
              <w:rPr>
                <w:rFonts w:ascii="Arial" w:cs="Arial" w:eastAsia="Arial" w:hAnsi="Arial"/>
                <w:sz w:val="18"/>
                <w:szCs w:val="18"/>
                <w:color w:val="auto"/>
                <w:w w:val="89"/>
              </w:rPr>
              <w:t>debbie@alcobra-pharma.com</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ANNOUNCES FOURTH QUARTER AND FISCAL 2015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AND PROVIDES CORPORATE UPDATE</w:t>
      </w:r>
    </w:p>
    <w:p>
      <w:pPr>
        <w:spacing w:after="0" w:line="211"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Conference Call &amp; Webcast February 17th at 8:30 a.m. Eastern Time/5:30 a.m. Pacific Time</w:t>
      </w:r>
    </w:p>
    <w:p>
      <w:pPr>
        <w:spacing w:after="0" w:line="22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Tel Aviv, Israel – February 17, 2016 – </w:t>
      </w:r>
      <w:r>
        <w:rPr>
          <w:rFonts w:ascii="Arial" w:cs="Arial" w:eastAsia="Arial" w:hAnsi="Arial"/>
          <w:sz w:val="18"/>
          <w:szCs w:val="18"/>
          <w:color w:val="auto"/>
        </w:rPr>
        <w:t>Alcobra Ltd. (NasdaqGM: ADHD), an emerging pharmaceutical company focused on the development of new</w:t>
      </w:r>
      <w:r>
        <w:rPr>
          <w:rFonts w:ascii="Arial" w:cs="Arial" w:eastAsia="Arial" w:hAnsi="Arial"/>
          <w:sz w:val="18"/>
          <w:szCs w:val="18"/>
          <w:b w:val="1"/>
          <w:bCs w:val="1"/>
          <w:color w:val="auto"/>
        </w:rPr>
        <w:t xml:space="preserve"> </w:t>
      </w:r>
      <w:r>
        <w:rPr>
          <w:rFonts w:ascii="Arial" w:cs="Arial" w:eastAsia="Arial" w:hAnsi="Arial"/>
          <w:sz w:val="18"/>
          <w:szCs w:val="18"/>
          <w:color w:val="auto"/>
        </w:rPr>
        <w:t>medications to treat patients with cognitive disorders, including Attention Deficit Hyperactivity Disorder (ADHD) and Fragile X Syndrome (Fragile X), today announced financial results for the three and twelve months ended December 31, 2015, and provided a corporate update.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Fiscal Year Ended December 31, 2015 Financial Results:</w:t>
      </w:r>
    </w:p>
    <w:p>
      <w:pPr>
        <w:spacing w:after="0" w:line="27" w:lineRule="exact"/>
        <w:rPr>
          <w:sz w:val="20"/>
          <w:szCs w:val="20"/>
          <w:color w:val="auto"/>
        </w:rPr>
      </w:pPr>
    </w:p>
    <w:p>
      <w:pPr>
        <w:ind w:left="340" w:right="32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operating expenses in the fourth quarter and fiscal year 2015 were $5.0 million and $19.7 million, respectively, compared with $6.8 million and $33.1 million in the fourth quarter and fiscal year 2014.</w:t>
      </w:r>
    </w:p>
    <w:p>
      <w:pPr>
        <w:ind w:left="340" w:right="60" w:hanging="332"/>
        <w:spacing w:after="0" w:line="281"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operating expenses, excluding non-cash stock based compensation of $0.6 million and $2.4 million, respectively, in the fourth quarter and fiscal year 2015 were $4.4 million and $17.3 million, respectively, compared with $6.0 million and $29.0 million in the fourth quarter and fiscal year 2014.</w:t>
      </w:r>
    </w:p>
    <w:p>
      <w:pPr>
        <w:spacing w:after="0" w:line="1" w:lineRule="exact"/>
        <w:rPr>
          <w:rFonts w:ascii="Arial" w:cs="Arial" w:eastAsia="Arial" w:hAnsi="Arial"/>
          <w:sz w:val="16"/>
          <w:szCs w:val="16"/>
          <w:color w:val="auto"/>
        </w:rPr>
      </w:pPr>
    </w:p>
    <w:p>
      <w:pPr>
        <w:ind w:left="340" w:right="16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Research and development (R&amp;D) expenses in the fourth quarter and fiscal year 2015 were $3.3 million and $13.5 million, respectively, compared with $4.9 million and $25.1 million in the fourth quarter and fiscal year 2014. R&amp;D expenses consist primarily of costs associated with the conduct of our clinical studies.</w:t>
      </w:r>
    </w:p>
    <w:p>
      <w:pPr>
        <w:spacing w:after="0" w:line="1" w:lineRule="exact"/>
        <w:rPr>
          <w:rFonts w:ascii="Arial" w:cs="Arial" w:eastAsia="Arial" w:hAnsi="Arial"/>
          <w:sz w:val="18"/>
          <w:szCs w:val="18"/>
          <w:color w:val="auto"/>
        </w:rPr>
      </w:pPr>
    </w:p>
    <w:p>
      <w:pPr>
        <w:jc w:val="both"/>
        <w:ind w:left="340" w:right="180" w:hanging="332"/>
        <w:spacing w:after="0" w:line="265"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General and administrative (G&amp;A) expenses in the fourth quarter and fiscal year 2015 were $1.3 million and $5.0 million, respectively, compared with $1.4 million and $5.8 million in the fourth quarter and fiscal year 2014. Pre-commercialization expenses in the fourth quarter and fiscal year 2015 were $0.3 million and $1.2 million, respectively, compared with $0.5 million and $2.1 million in the fourth quarter and fiscal year 2014.</w:t>
      </w:r>
    </w:p>
    <w:p>
      <w:pPr>
        <w:ind w:left="340" w:right="40" w:hanging="332"/>
        <w:spacing w:after="0" w:line="26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cash equivalents and short-term and long-term deposits totaled $69.7 million at December 31, 2015, compared with $35.5 million at September 30, 2015 and $21.7 million at December 31, 2014.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Recent Corporate Updates:</w:t>
      </w:r>
    </w:p>
    <w:p>
      <w:pPr>
        <w:spacing w:after="0" w:line="27" w:lineRule="exact"/>
        <w:rPr>
          <w:sz w:val="20"/>
          <w:szCs w:val="20"/>
          <w:color w:val="auto"/>
        </w:rPr>
      </w:pPr>
    </w:p>
    <w:p>
      <w:pPr>
        <w:ind w:left="380" w:right="60" w:hanging="372"/>
        <w:spacing w:after="0" w:line="265"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November 13, 2015, Alcobra completed a public equity financing with net proceeds of $38.6 million. The financing was led by healthcare-dedicated institutional investors, and provides the company with sufficient capital to execute its development programs through the end of 2017.</w:t>
      </w:r>
    </w:p>
    <w:p>
      <w:pPr>
        <w:ind w:left="340" w:right="40" w:hanging="332"/>
        <w:spacing w:after="0" w:line="25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currently enrolling patients into the MEASURE study (MDX Evaluation in Adults – Study of Response and Efficacy). The MEASURE study is the company’s second Phase III study of Metadoxine Extended Release (MDX) in adults with ADHD. The study includes design and operational elements to potentially mitigate a placebo response and reduce response variability. Based on trends in recent enrollment rates, the company now expects data from the study by year end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6100445</wp:posOffset>
            </wp:positionH>
            <wp:positionV relativeFrom="page">
              <wp:posOffset>586105</wp:posOffset>
            </wp:positionV>
            <wp:extent cx="1277620" cy="523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77620" cy="523240"/>
                    </a:xfrm>
                    <a:prstGeom prst="rect">
                      <a:avLst/>
                    </a:prstGeom>
                    <a:noFill/>
                  </pic:spPr>
                </pic:pic>
              </a:graphicData>
            </a:graphic>
          </wp:anchor>
        </w:drawing>
      </w:r>
    </w:p>
    <w:p>
      <w:pPr>
        <w:spacing w:after="0" w:line="363" w:lineRule="exact"/>
        <w:rPr>
          <w:sz w:val="20"/>
          <w:szCs w:val="20"/>
          <w:color w:val="auto"/>
        </w:rPr>
      </w:pPr>
    </w:p>
    <w:p>
      <w:pPr>
        <w:ind w:left="380" w:right="500" w:hanging="372"/>
        <w:spacing w:after="0" w:line="258"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preparing to launch the first of two registration studies with MDX in children with ADHD. This multi-center, Phase II, short-term efficacy study will be placebo-controlled.</w:t>
      </w:r>
    </w:p>
    <w:p>
      <w:pPr>
        <w:spacing w:after="0" w:line="1" w:lineRule="exact"/>
        <w:rPr>
          <w:rFonts w:ascii="Arial" w:cs="Arial" w:eastAsia="Arial" w:hAnsi="Arial"/>
          <w:sz w:val="18"/>
          <w:szCs w:val="18"/>
          <w:color w:val="auto"/>
        </w:rPr>
      </w:pPr>
    </w:p>
    <w:p>
      <w:pPr>
        <w:ind w:left="380" w:right="40" w:hanging="372"/>
        <w:spacing w:after="0" w:line="250"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completing analyses and plans for a Phase III study in adolescents and adult patients with Fragile X, following the November 2015 meeting with the U.S. Food and Drug Administration (FDA). The FDA has previously granted an orphan drug designation and Fast Track designation to MDX for the treatment of Fragile X.</w:t>
      </w:r>
    </w:p>
    <w:p>
      <w:pPr>
        <w:spacing w:after="0" w:line="1" w:lineRule="exact"/>
        <w:rPr>
          <w:rFonts w:ascii="Arial" w:cs="Arial" w:eastAsia="Arial" w:hAnsi="Arial"/>
          <w:sz w:val="18"/>
          <w:szCs w:val="18"/>
          <w:color w:val="auto"/>
        </w:rPr>
      </w:pPr>
    </w:p>
    <w:p>
      <w:pPr>
        <w:ind w:left="380" w:right="200" w:hanging="372"/>
        <w:spacing w:after="0" w:line="261"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Dr. Tomer Berkovitz, Alcobra’s Chief Financial Officer since May 2014, was appointed to the additional position of Chief Operating Officer, effective January 1,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&amp; Webcast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Wednesday, February 17, 2016 at 8:30 a.m. Eastern</w:t>
      </w:r>
    </w:p>
    <w:p>
      <w:pPr>
        <w:spacing w:after="0" w:line="9"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Domestic:</w:t>
      </w:r>
      <w:r>
        <w:rPr>
          <w:sz w:val="20"/>
          <w:szCs w:val="20"/>
          <w:color w:val="auto"/>
        </w:rPr>
        <w:tab/>
      </w:r>
      <w:r>
        <w:rPr>
          <w:rFonts w:ascii="Arial" w:cs="Arial" w:eastAsia="Arial" w:hAnsi="Arial"/>
          <w:sz w:val="18"/>
          <w:szCs w:val="18"/>
          <w:color w:val="auto"/>
        </w:rPr>
        <w:t>855-469-0611</w:t>
      </w:r>
    </w:p>
    <w:p>
      <w:pPr>
        <w:spacing w:after="0" w:line="9"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International:</w:t>
      </w:r>
      <w:r>
        <w:rPr>
          <w:sz w:val="20"/>
          <w:szCs w:val="20"/>
          <w:color w:val="auto"/>
        </w:rPr>
        <w:tab/>
      </w:r>
      <w:r>
        <w:rPr>
          <w:rFonts w:ascii="Arial" w:cs="Arial" w:eastAsia="Arial" w:hAnsi="Arial"/>
          <w:sz w:val="18"/>
          <w:szCs w:val="18"/>
          <w:color w:val="auto"/>
        </w:rPr>
        <w:t>484-756-4341</w:t>
      </w:r>
    </w:p>
    <w:p>
      <w:pPr>
        <w:spacing w:after="0" w:line="9"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Passcode:</w:t>
      </w:r>
      <w:r>
        <w:rPr>
          <w:sz w:val="20"/>
          <w:szCs w:val="20"/>
          <w:color w:val="auto"/>
        </w:rPr>
        <w:tab/>
      </w:r>
      <w:r>
        <w:rPr>
          <w:rFonts w:ascii="Arial" w:cs="Arial" w:eastAsia="Arial" w:hAnsi="Arial"/>
          <w:sz w:val="18"/>
          <w:szCs w:val="18"/>
          <w:color w:val="auto"/>
        </w:rPr>
        <w:t>34475008</w:t>
      </w:r>
    </w:p>
    <w:p>
      <w:pPr>
        <w:spacing w:after="0" w:line="9"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Webcast:</w:t>
      </w:r>
      <w:r>
        <w:rPr>
          <w:sz w:val="20"/>
          <w:szCs w:val="20"/>
          <w:color w:val="auto"/>
        </w:rPr>
        <w:tab/>
      </w:r>
      <w:r>
        <w:rPr>
          <w:rFonts w:ascii="Arial" w:cs="Arial" w:eastAsia="Arial" w:hAnsi="Arial"/>
          <w:sz w:val="18"/>
          <w:szCs w:val="18"/>
          <w:color w:val="auto"/>
        </w:rPr>
        <w:t>http://www.alcobra-pharma.com/events.cfm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Replays available through March 2, 2016</w:t>
      </w:r>
    </w:p>
    <w:p>
      <w:pPr>
        <w:spacing w:after="0" w:line="23"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Domestic:</w:t>
      </w:r>
      <w:r>
        <w:rPr>
          <w:sz w:val="20"/>
          <w:szCs w:val="20"/>
          <w:color w:val="auto"/>
        </w:rPr>
        <w:tab/>
      </w:r>
      <w:r>
        <w:rPr>
          <w:rFonts w:ascii="Arial" w:cs="Arial" w:eastAsia="Arial" w:hAnsi="Arial"/>
          <w:sz w:val="18"/>
          <w:szCs w:val="18"/>
          <w:color w:val="auto"/>
        </w:rPr>
        <w:t>855-859-2056</w:t>
      </w:r>
    </w:p>
    <w:p>
      <w:pPr>
        <w:spacing w:after="0" w:line="9"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International:</w:t>
      </w:r>
      <w:r>
        <w:rPr>
          <w:sz w:val="20"/>
          <w:szCs w:val="20"/>
          <w:color w:val="auto"/>
        </w:rPr>
        <w:tab/>
      </w:r>
      <w:r>
        <w:rPr>
          <w:rFonts w:ascii="Arial" w:cs="Arial" w:eastAsia="Arial" w:hAnsi="Arial"/>
          <w:sz w:val="18"/>
          <w:szCs w:val="18"/>
          <w:color w:val="auto"/>
        </w:rPr>
        <w:t>404-537-3406</w:t>
      </w:r>
    </w:p>
    <w:p>
      <w:pPr>
        <w:spacing w:after="0" w:line="9"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Passcode:</w:t>
      </w:r>
      <w:r>
        <w:rPr>
          <w:sz w:val="20"/>
          <w:szCs w:val="20"/>
          <w:color w:val="auto"/>
        </w:rPr>
        <w:tab/>
      </w:r>
      <w:r>
        <w:rPr>
          <w:rFonts w:ascii="Arial" w:cs="Arial" w:eastAsia="Arial" w:hAnsi="Arial"/>
          <w:sz w:val="18"/>
          <w:szCs w:val="18"/>
          <w:color w:val="auto"/>
        </w:rPr>
        <w:t>34475008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Alcobra Ltd.</w:t>
      </w:r>
    </w:p>
    <w:p>
      <w:pPr>
        <w:spacing w:after="0" w:line="2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Alcobra Ltd. is an emerging pharmaceutical company primarily focused on the development and commercialization of MDX, a proprietary drug candidate, to treat cognitive disorders including ADHD and Fragile X. For more information please visit the Company's website, www.alcobra-pharma.com, the content of which is not incorporated herein by reference.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This press release contains forward-looking statements within the meaning of the "safe harbor" provisions of the Private Securities Litigation Reform Act of 1995 and other Federal securities laws.</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sufficiency of capital resources, the timing of launching and reporting results of clinical studies, design of future clinical studies and Alcobra’s ability to better design clinical studies and reduce high placebo response and response variability. In addition, historic results of scientific research do not guarantee that the conclusions of future research would not suggest different conclusions or that historic results referred to in this press release would not be interpreted differently in light of additional research or otherwise. Also, while Alcobra has received Fast Track designation for MDX for the treatment of Fragile X, the company cannot guarantee that it will be able to maintain such designation due to reasons within or outside of its control. The forward-looking statements contained or implied in this press release are subject to other risks and uncertainties, including those discussed under the heading "Risk Factors" in Alcobra Ltd.'s Annual Report on Form 20-F for the fiscal year ended December 31, 2014, filed with the Securities and Exchange Commission (SEC) and in subsequent filings with the SEC. Except as otherwise required by law, Alcobra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6100445</wp:posOffset>
            </wp:positionH>
            <wp:positionV relativeFrom="page">
              <wp:posOffset>586105</wp:posOffset>
            </wp:positionV>
            <wp:extent cx="1277620" cy="523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77620" cy="523240"/>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Pharma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6"/>
          </w:tcPr>
          <w:p>
            <w:pPr>
              <w:jc w:val="right"/>
              <w:ind w:right="100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4"/>
          </w:tcPr>
          <w:p>
            <w:pPr>
              <w:jc w:val="right"/>
              <w:ind w:right="160"/>
              <w:spacing w:after="0"/>
              <w:rPr>
                <w:sz w:val="20"/>
                <w:szCs w:val="20"/>
                <w:color w:val="auto"/>
              </w:rPr>
            </w:pPr>
            <w:r>
              <w:rPr>
                <w:rFonts w:ascii="Arial" w:cs="Arial" w:eastAsia="Arial" w:hAnsi="Arial"/>
                <w:sz w:val="18"/>
                <w:szCs w:val="18"/>
                <w:color w:val="auto"/>
              </w:rPr>
              <w:t>Year Ended</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December 31,</w:t>
            </w:r>
          </w:p>
        </w:tc>
        <w:tc>
          <w:tcPr>
            <w:tcW w:w="10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December 31,</w:t>
            </w:r>
          </w:p>
        </w:tc>
        <w:tc>
          <w:tcPr>
            <w:tcW w:w="10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3,335</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13,461</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Pre commercialization expenses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1,245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19,698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taxes on income</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4,870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19,398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Tax on income</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Net loss attributable to holders of Ordinary shares</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4,887</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6,802</w:t>
            </w:r>
          </w:p>
        </w:tc>
        <w:tc>
          <w:tcPr>
            <w:tcW w:w="140" w:type="dxa"/>
            <w:vAlign w:val="bottom"/>
          </w:tcPr>
          <w:p>
            <w:pPr>
              <w:spacing w:after="0"/>
              <w:rPr>
                <w:sz w:val="24"/>
                <w:szCs w:val="2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19,449</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32,834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Net basic and diluted loss per share</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(0.50)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(0.90)</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6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w w:val="99"/>
              </w:rPr>
              <w:t>Weighted average number of Ordinary shares used in</w:t>
            </w:r>
          </w:p>
        </w:tc>
        <w:tc>
          <w:tcPr>
            <w:tcW w:w="4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computing basic and diluted net loss per share</w:t>
            </w:r>
          </w:p>
        </w:tc>
        <w:tc>
          <w:tcPr>
            <w:tcW w:w="4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24,136,669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13,702,440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21,638,207</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13,674,818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6100445</wp:posOffset>
            </wp:positionH>
            <wp:positionV relativeFrom="page">
              <wp:posOffset>586105</wp:posOffset>
            </wp:positionV>
            <wp:extent cx="1277620" cy="523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77620" cy="523240"/>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Pharma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December 31,</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560" w:type="dxa"/>
            <w:vAlign w:val="bottom"/>
            <w:tcBorders>
              <w:bottom w:val="single" w:sz="8" w:color="CCEEFF"/>
            </w:tcBorders>
          </w:tcPr>
          <w:p>
            <w:pPr>
              <w:spacing w:after="0"/>
              <w:rPr>
                <w:sz w:val="19"/>
                <w:szCs w:val="19"/>
                <w:color w:val="auto"/>
              </w:rPr>
            </w:pPr>
          </w:p>
        </w:tc>
        <w:tc>
          <w:tcPr>
            <w:tcW w:w="4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16,658</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bank deposits</w:t>
            </w:r>
          </w:p>
        </w:tc>
        <w:tc>
          <w:tcPr>
            <w:tcW w:w="4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34,022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19,522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4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1,666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4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52,346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22,126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Long-term assets:</w:t>
            </w:r>
          </w:p>
        </w:tc>
        <w:tc>
          <w:tcPr>
            <w:tcW w:w="4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bank deposits</w:t>
            </w:r>
          </w:p>
        </w:tc>
        <w:tc>
          <w:tcPr>
            <w:tcW w:w="4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19,000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Other long-term assets</w:t>
            </w:r>
          </w:p>
        </w:tc>
        <w:tc>
          <w:tcPr>
            <w:tcW w:w="4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assets</w:t>
            </w:r>
          </w:p>
        </w:tc>
        <w:tc>
          <w:tcPr>
            <w:tcW w:w="4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19,337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4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71,683</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22,318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560" w:type="dxa"/>
            <w:vAlign w:val="bottom"/>
            <w:gridSpan w:val="2"/>
          </w:tcPr>
          <w:p>
            <w:pPr>
              <w:jc w:val="right"/>
              <w:ind w:right="1980"/>
              <w:spacing w:after="0"/>
              <w:rPr>
                <w:sz w:val="20"/>
                <w:szCs w:val="20"/>
                <w:color w:val="auto"/>
              </w:rPr>
            </w:pPr>
            <w:r>
              <w:rPr>
                <w:rFonts w:ascii="Arial" w:cs="Arial" w:eastAsia="Arial" w:hAnsi="Arial"/>
                <w:sz w:val="18"/>
                <w:szCs w:val="18"/>
                <w:b w:val="1"/>
                <w:bCs w:val="1"/>
                <w:color w:val="auto"/>
              </w:rPr>
              <w:t>LIABILITIES AND</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560" w:type="dxa"/>
            <w:vAlign w:val="bottom"/>
            <w:gridSpan w:val="2"/>
          </w:tcPr>
          <w:p>
            <w:pPr>
              <w:jc w:val="right"/>
              <w:ind w:right="1580"/>
              <w:spacing w:after="0"/>
              <w:rPr>
                <w:sz w:val="20"/>
                <w:szCs w:val="20"/>
                <w:color w:val="auto"/>
              </w:rPr>
            </w:pPr>
            <w:r>
              <w:rPr>
                <w:rFonts w:ascii="Arial" w:cs="Arial" w:eastAsia="Arial" w:hAnsi="Arial"/>
                <w:sz w:val="18"/>
                <w:szCs w:val="18"/>
                <w:b w:val="1"/>
                <w:bCs w:val="1"/>
                <w:color w:val="auto"/>
              </w:rPr>
              <w:t>SHAREHOLDERS’ EQUITY</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Trade payables</w:t>
            </w:r>
          </w:p>
        </w:tc>
        <w:tc>
          <w:tcPr>
            <w:tcW w:w="4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540" w:type="dxa"/>
            <w:vAlign w:val="bottom"/>
            <w:gridSpan w:val="2"/>
          </w:tcPr>
          <w:p>
            <w:pPr>
              <w:jc w:val="right"/>
              <w:ind w:right="4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4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4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Ordinary shares</w:t>
            </w:r>
          </w:p>
        </w:tc>
        <w:tc>
          <w:tcPr>
            <w:tcW w:w="4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4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140,274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Accumulated deficit</w:t>
            </w:r>
          </w:p>
        </w:tc>
        <w:tc>
          <w:tcPr>
            <w:tcW w:w="4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(71,017)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(51,568)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4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69,331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19,943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4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71,683</w:t>
            </w:r>
          </w:p>
        </w:tc>
        <w:tc>
          <w:tcPr>
            <w:tcW w:w="140" w:type="dxa"/>
            <w:vAlign w:val="bottom"/>
          </w:tcPr>
          <w:p>
            <w:pPr>
              <w:spacing w:after="0"/>
              <w:rPr>
                <w:sz w:val="21"/>
                <w:szCs w:val="21"/>
                <w:color w:val="auto"/>
              </w:rPr>
            </w:pPr>
          </w:p>
        </w:tc>
        <w:tc>
          <w:tcPr>
            <w:tcW w:w="540" w:type="dxa"/>
            <w:vAlign w:val="bottom"/>
            <w:gridSpan w:val="2"/>
          </w:tcPr>
          <w:p>
            <w:pPr>
              <w:jc w:val="right"/>
              <w:ind w:right="4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22,318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Alcobra Pharma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Cash Flow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Three Months Ended</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Year Ended</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8"/>
                <w:szCs w:val="18"/>
                <w:color w:val="auto"/>
              </w:rPr>
              <w:t>December 31,</w:t>
            </w:r>
          </w:p>
        </w:tc>
        <w:tc>
          <w:tcPr>
            <w:tcW w:w="5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5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 from operating activities: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loss</w:t>
            </w:r>
          </w:p>
        </w:tc>
        <w:tc>
          <w:tcPr>
            <w:tcW w:w="25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(4,887)</w:t>
            </w:r>
          </w:p>
        </w:tc>
        <w:tc>
          <w:tcPr>
            <w:tcW w:w="880" w:type="dxa"/>
            <w:vAlign w:val="bottom"/>
            <w:tcBorders>
              <w:top w:val="single" w:sz="8" w:color="CCEEFF"/>
            </w:tcBorders>
          </w:tcPr>
          <w:p>
            <w:pPr>
              <w:jc w:val="right"/>
              <w:ind w:right="72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w w:val="94"/>
              </w:rPr>
              <w:t>(6,802)</w:t>
            </w:r>
          </w:p>
        </w:tc>
        <w:tc>
          <w:tcPr>
            <w:tcW w:w="280" w:type="dxa"/>
            <w:vAlign w:val="bottom"/>
            <w:tcBorders>
              <w:top w:val="single" w:sz="8" w:color="CCEEFF"/>
            </w:tcBorders>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(19,449)</w:t>
            </w:r>
          </w:p>
        </w:tc>
        <w:tc>
          <w:tcPr>
            <w:tcW w:w="440" w:type="dxa"/>
            <w:vAlign w:val="bottom"/>
            <w:tcBorders>
              <w:top w:val="single" w:sz="8" w:color="CCEEFF"/>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(32,834)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loss to net cash used in operating</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activities: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579</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787</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2,365</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Change in operating assets and liabilities: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786</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(1,077)</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ind w:left="160"/>
              <w:spacing w:after="0"/>
              <w:rPr>
                <w:sz w:val="20"/>
                <w:szCs w:val="20"/>
                <w:color w:val="auto"/>
              </w:rPr>
            </w:pPr>
            <w:r>
              <w:rPr>
                <w:rFonts w:ascii="Arial" w:cs="Arial" w:eastAsia="Arial" w:hAnsi="Arial"/>
                <w:sz w:val="18"/>
                <w:szCs w:val="18"/>
                <w:color w:val="auto"/>
              </w:rPr>
              <w:t>Other long-term assets</w:t>
            </w:r>
          </w:p>
        </w:tc>
        <w:tc>
          <w:tcPr>
            <w:tcW w:w="2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8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Trade payables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(470)</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(1,227)</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3"/>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305</w:t>
            </w:r>
          </w:p>
        </w:tc>
        <w:tc>
          <w:tcPr>
            <w:tcW w:w="8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(1,303)</w:t>
            </w:r>
          </w:p>
        </w:tc>
        <w:tc>
          <w:tcPr>
            <w:tcW w:w="2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225</w:t>
            </w:r>
          </w:p>
        </w:tc>
        <w:tc>
          <w:tcPr>
            <w:tcW w:w="4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(4,279)</w:t>
            </w:r>
          </w:p>
        </w:tc>
        <w:tc>
          <w:tcPr>
            <w:tcW w:w="8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(7,740)</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(18,148)</w:t>
            </w:r>
          </w:p>
        </w:tc>
        <w:tc>
          <w:tcPr>
            <w:tcW w:w="4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(28,326)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140" w:type="dxa"/>
            <w:vAlign w:val="bottom"/>
            <w:gridSpan w:val="3"/>
          </w:tcPr>
          <w:p>
            <w:pPr>
              <w:spacing w:after="0" w:line="176" w:lineRule="exact"/>
              <w:rPr>
                <w:sz w:val="20"/>
                <w:szCs w:val="20"/>
                <w:color w:val="auto"/>
              </w:rPr>
            </w:pPr>
            <w:r>
              <w:rPr>
                <w:rFonts w:ascii="Arial" w:cs="Arial" w:eastAsia="Arial" w:hAnsi="Arial"/>
                <w:sz w:val="18"/>
                <w:szCs w:val="18"/>
                <w:color w:val="auto"/>
              </w:rPr>
              <w:t>Cash flow from investing activities:</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property and equipment, net</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Proceeds from (investment in) short-term bank deposit, net</w:t>
            </w:r>
          </w:p>
        </w:tc>
        <w:tc>
          <w:tcPr>
            <w:tcW w:w="2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(8,485)</w:t>
            </w:r>
          </w:p>
        </w:tc>
        <w:tc>
          <w:tcPr>
            <w:tcW w:w="8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7,202</w:t>
            </w:r>
          </w:p>
        </w:tc>
        <w:tc>
          <w:tcPr>
            <w:tcW w:w="2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(14,500)</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long-term bank deposit</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(19,000)</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(19,000)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Change in restricted cash</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88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c>
          <w:tcPr>
            <w:tcW w:w="4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(27,589)</w:t>
            </w:r>
          </w:p>
        </w:tc>
        <w:tc>
          <w:tcPr>
            <w:tcW w:w="88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7,202</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(33,842)</w:t>
            </w:r>
          </w:p>
        </w:tc>
        <w:tc>
          <w:tcPr>
            <w:tcW w:w="4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140" w:type="dxa"/>
            <w:vAlign w:val="bottom"/>
            <w:gridSpan w:val="3"/>
          </w:tcPr>
          <w:p>
            <w:pPr>
              <w:spacing w:after="0" w:line="176" w:lineRule="exact"/>
              <w:rPr>
                <w:sz w:val="20"/>
                <w:szCs w:val="20"/>
                <w:color w:val="auto"/>
              </w:rPr>
            </w:pPr>
            <w:r>
              <w:rPr>
                <w:rFonts w:ascii="Arial" w:cs="Arial" w:eastAsia="Arial" w:hAnsi="Arial"/>
                <w:sz w:val="18"/>
                <w:szCs w:val="18"/>
                <w:color w:val="auto"/>
              </w:rPr>
              <w:t>Cash flow from financing activities:</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Issuance of shares upon public offering, net</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38,556</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66,459</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Exercise of options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38,556</w:t>
            </w:r>
          </w:p>
        </w:tc>
        <w:tc>
          <w:tcPr>
            <w:tcW w:w="88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66,472</w:t>
            </w:r>
          </w:p>
        </w:tc>
        <w:tc>
          <w:tcPr>
            <w:tcW w:w="4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Increase (decrease) in cash and cash equivalents</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6,688</w:t>
            </w:r>
          </w:p>
        </w:tc>
        <w:tc>
          <w:tcPr>
            <w:tcW w:w="8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(538)</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14,482</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(19,919)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9,970</w:t>
            </w:r>
          </w:p>
        </w:tc>
        <w:tc>
          <w:tcPr>
            <w:tcW w:w="88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2,714</w:t>
            </w:r>
          </w:p>
        </w:tc>
        <w:tc>
          <w:tcPr>
            <w:tcW w:w="2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2,176</w:t>
            </w:r>
          </w:p>
        </w:tc>
        <w:tc>
          <w:tcPr>
            <w:tcW w:w="4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22,095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Cash and cash equivalents at the end of the period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16,658</w:t>
            </w:r>
          </w:p>
        </w:tc>
        <w:tc>
          <w:tcPr>
            <w:tcW w:w="880" w:type="dxa"/>
            <w:vAlign w:val="bottom"/>
          </w:tcPr>
          <w:p>
            <w:pPr>
              <w:jc w:val="right"/>
              <w:ind w:right="72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2,176</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16,658</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550"/>
              <w:spacing w:after="0"/>
              <w:rPr>
                <w:sz w:val="20"/>
                <w:szCs w:val="20"/>
                <w:color w:val="auto"/>
              </w:rPr>
            </w:pPr>
            <w:r>
              <w:rPr>
                <w:rFonts w:ascii="Arial" w:cs="Arial" w:eastAsia="Arial" w:hAnsi="Arial"/>
                <w:sz w:val="18"/>
                <w:szCs w:val="18"/>
                <w:color w:val="auto"/>
              </w:rPr>
              <w:t># # #</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2019-12-08T23:35:04Z</dcterms:created>
  <dcterms:modified xsi:type="dcterms:W3CDTF">2019-12-08T23:35:04Z</dcterms:modified>
</cp:coreProperties>
</file>