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spacing w:after="0" w:line="241"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ALCOBRA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M2239P109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November 13,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340" w:right="9700" w:hanging="8"/>
        <w:spacing w:after="0" w:line="224" w:lineRule="exact"/>
        <w:tabs>
          <w:tab w:leader="none" w:pos="70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w:t>
      </w:r>
      <w:r>
        <w:rPr>
          <w:rFonts w:ascii="Arial" w:cs="Arial" w:eastAsia="Arial" w:hAnsi="Arial"/>
          <w:sz w:val="16"/>
          <w:szCs w:val="16"/>
          <w:b w:val="1"/>
          <w:bCs w:val="1"/>
          <w:i w:val="1"/>
          <w:iCs w:val="1"/>
          <w:color w:val="auto"/>
        </w:rPr>
        <w:t>Act</w:t>
      </w:r>
      <w:r>
        <w:rPr>
          <w:rFonts w:ascii="Arial" w:cs="Arial" w:eastAsia="Arial" w:hAnsi="Arial"/>
          <w:sz w:val="16"/>
          <w:szCs w:val="16"/>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66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M2239P109</w:t>
            </w:r>
          </w:p>
        </w:tc>
        <w:tc>
          <w:tcPr>
            <w:tcW w:w="2260" w:type="dxa"/>
            <w:vAlign w:val="bottom"/>
          </w:tcPr>
          <w:p>
            <w:pPr>
              <w:ind w:left="1860"/>
              <w:spacing w:after="0"/>
              <w:rPr>
                <w:sz w:val="20"/>
                <w:szCs w:val="20"/>
                <w:color w:val="auto"/>
              </w:rPr>
            </w:pPr>
            <w:r>
              <w:rPr>
                <w:rFonts w:ascii="Arial" w:cs="Arial" w:eastAsia="Arial" w:hAnsi="Arial"/>
                <w:sz w:val="22"/>
                <w:szCs w:val="22"/>
                <w:b w:val="1"/>
                <w:bCs w:val="1"/>
                <w:color w:val="auto"/>
                <w:w w:val="91"/>
              </w:rPr>
              <w:t>13G</w:t>
            </w:r>
          </w:p>
        </w:tc>
      </w:tr>
    </w:tbl>
    <w:p>
      <w:pPr>
        <w:spacing w:after="0" w:line="205" w:lineRule="exact"/>
        <w:rPr>
          <w:sz w:val="20"/>
          <w:szCs w:val="20"/>
          <w:color w:val="auto"/>
        </w:rPr>
      </w:pPr>
    </w:p>
    <w:p>
      <w:pPr>
        <w:ind w:left="1160" w:hanging="571"/>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RA Capital Management, LLC</w:t>
      </w:r>
    </w:p>
    <w:p>
      <w:pPr>
        <w:spacing w:after="0" w:line="243" w:lineRule="exact"/>
        <w:rPr>
          <w:sz w:val="20"/>
          <w:szCs w:val="20"/>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740" w:hanging="571"/>
        <w:spacing w:after="0" w:line="207" w:lineRule="exact"/>
        <w:tabs>
          <w:tab w:leader="none" w:pos="174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740" w:hanging="571"/>
        <w:spacing w:after="0" w:line="207" w:lineRule="exact"/>
        <w:tabs>
          <w:tab w:leader="none" w:pos="174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-687705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16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4.</w:t>
            </w:r>
          </w:p>
        </w:tc>
        <w:tc>
          <w:tcPr>
            <w:tcW w:w="30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72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Massachusetts</w:t>
            </w:r>
          </w:p>
        </w:tc>
        <w:tc>
          <w:tcPr>
            <w:tcW w:w="0" w:type="dxa"/>
            <w:vAlign w:val="bottom"/>
          </w:tcPr>
          <w:p>
            <w:pPr>
              <w:spacing w:after="0"/>
              <w:rPr>
                <w:sz w:val="1"/>
                <w:szCs w:val="1"/>
                <w:color w:val="auto"/>
              </w:rPr>
            </w:pPr>
          </w:p>
        </w:tc>
      </w:tr>
      <w:tr>
        <w:trPr>
          <w:trHeight w:val="198"/>
        </w:trPr>
        <w:tc>
          <w:tcPr>
            <w:tcW w:w="1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7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10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7240" w:type="dxa"/>
            <w:vAlign w:val="bottom"/>
          </w:tcPr>
          <w:p>
            <w:pPr>
              <w:ind w:left="68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89"/>
        </w:trPr>
        <w:tc>
          <w:tcPr>
            <w:tcW w:w="11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100" w:type="dxa"/>
            <w:vAlign w:val="bottom"/>
          </w:tcPr>
          <w:p>
            <w:pPr>
              <w:spacing w:after="0"/>
              <w:rPr>
                <w:sz w:val="7"/>
                <w:szCs w:val="7"/>
                <w:color w:val="auto"/>
              </w:rPr>
            </w:pPr>
          </w:p>
        </w:tc>
        <w:tc>
          <w:tcPr>
            <w:tcW w:w="7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16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72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160" w:type="dxa"/>
            <w:vAlign w:val="bottom"/>
            <w:vMerge w:val="continue"/>
          </w:tcPr>
          <w:p>
            <w:pPr>
              <w:spacing w:after="0"/>
              <w:rPr>
                <w:sz w:val="7"/>
                <w:szCs w:val="7"/>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w:t>
            </w:r>
          </w:p>
        </w:tc>
        <w:tc>
          <w:tcPr>
            <w:tcW w:w="210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72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3,032,911 shares</w:t>
            </w:r>
          </w:p>
        </w:tc>
        <w:tc>
          <w:tcPr>
            <w:tcW w:w="0" w:type="dxa"/>
            <w:vAlign w:val="bottom"/>
          </w:tcPr>
          <w:p>
            <w:pPr>
              <w:spacing w:after="0"/>
              <w:rPr>
                <w:sz w:val="1"/>
                <w:szCs w:val="1"/>
                <w:color w:val="auto"/>
              </w:rPr>
            </w:pPr>
          </w:p>
        </w:tc>
      </w:tr>
      <w:tr>
        <w:trPr>
          <w:trHeight w:val="141"/>
        </w:trPr>
        <w:tc>
          <w:tcPr>
            <w:tcW w:w="116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920" w:type="dxa"/>
            <w:vAlign w:val="bottom"/>
            <w:gridSpan w:val="2"/>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7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1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100" w:type="dxa"/>
            <w:vAlign w:val="bottom"/>
          </w:tcPr>
          <w:p>
            <w:pPr>
              <w:spacing w:after="0"/>
              <w:rPr>
                <w:sz w:val="6"/>
                <w:szCs w:val="6"/>
                <w:color w:val="auto"/>
              </w:rPr>
            </w:pPr>
          </w:p>
        </w:tc>
        <w:tc>
          <w:tcPr>
            <w:tcW w:w="7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6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7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160" w:type="dxa"/>
            <w:vAlign w:val="bottom"/>
            <w:vMerge w:val="continue"/>
          </w:tcPr>
          <w:p>
            <w:pPr>
              <w:spacing w:after="0"/>
              <w:rPr>
                <w:sz w:val="6"/>
                <w:szCs w:val="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7.</w:t>
            </w:r>
          </w:p>
        </w:tc>
        <w:tc>
          <w:tcPr>
            <w:tcW w:w="210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7240" w:type="dxa"/>
            <w:vAlign w:val="bottom"/>
            <w:vMerge w:val="restart"/>
          </w:tcPr>
          <w:p>
            <w:pPr>
              <w:jc w:val="center"/>
              <w:ind w:right="5370"/>
              <w:spacing w:after="0"/>
              <w:rPr>
                <w:sz w:val="20"/>
                <w:szCs w:val="20"/>
                <w:color w:val="auto"/>
              </w:rPr>
            </w:pPr>
            <w:r>
              <w:rPr>
                <w:rFonts w:ascii="Arial" w:cs="Arial" w:eastAsia="Arial" w:hAnsi="Arial"/>
                <w:sz w:val="18"/>
                <w:szCs w:val="18"/>
                <w:b w:val="1"/>
                <w:bCs w:val="1"/>
                <w:color w:val="auto"/>
                <w:w w:val="84"/>
              </w:rPr>
              <w:t>0 shares</w:t>
            </w:r>
          </w:p>
        </w:tc>
        <w:tc>
          <w:tcPr>
            <w:tcW w:w="0" w:type="dxa"/>
            <w:vAlign w:val="bottom"/>
          </w:tcPr>
          <w:p>
            <w:pPr>
              <w:spacing w:after="0"/>
              <w:rPr>
                <w:sz w:val="1"/>
                <w:szCs w:val="1"/>
                <w:color w:val="auto"/>
              </w:rPr>
            </w:pPr>
          </w:p>
        </w:tc>
      </w:tr>
      <w:tr>
        <w:trPr>
          <w:trHeight w:val="154"/>
        </w:trPr>
        <w:tc>
          <w:tcPr>
            <w:tcW w:w="1160" w:type="dxa"/>
            <w:vAlign w:val="bottom"/>
            <w:vMerge w:val="restart"/>
          </w:tcPr>
          <w:p>
            <w:pPr>
              <w:spacing w:after="0"/>
              <w:rPr>
                <w:sz w:val="20"/>
                <w:szCs w:val="20"/>
                <w:color w:val="auto"/>
              </w:rPr>
            </w:pPr>
            <w:r>
              <w:rPr>
                <w:rFonts w:ascii="Arial" w:cs="Arial" w:eastAsia="Arial" w:hAnsi="Arial"/>
                <w:sz w:val="18"/>
                <w:szCs w:val="18"/>
                <w:color w:val="auto"/>
                <w:w w:val="91"/>
              </w:rPr>
              <w:t>Each Reporting</w:t>
            </w:r>
          </w:p>
        </w:tc>
        <w:tc>
          <w:tcPr>
            <w:tcW w:w="920" w:type="dxa"/>
            <w:vAlign w:val="bottom"/>
            <w:gridSpan w:val="2"/>
            <w:vMerge w:val="continue"/>
          </w:tcPr>
          <w:p>
            <w:pPr>
              <w:spacing w:after="0"/>
              <w:rPr>
                <w:sz w:val="13"/>
                <w:szCs w:val="13"/>
                <w:color w:val="auto"/>
              </w:rPr>
            </w:pPr>
          </w:p>
        </w:tc>
        <w:tc>
          <w:tcPr>
            <w:tcW w:w="2100" w:type="dxa"/>
            <w:vAlign w:val="bottom"/>
            <w:vMerge w:val="continue"/>
          </w:tcPr>
          <w:p>
            <w:pPr>
              <w:spacing w:after="0"/>
              <w:rPr>
                <w:sz w:val="13"/>
                <w:szCs w:val="13"/>
                <w:color w:val="auto"/>
              </w:rPr>
            </w:pPr>
          </w:p>
        </w:tc>
        <w:tc>
          <w:tcPr>
            <w:tcW w:w="7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1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100" w:type="dxa"/>
            <w:vAlign w:val="bottom"/>
          </w:tcPr>
          <w:p>
            <w:pPr>
              <w:spacing w:after="0"/>
              <w:rPr>
                <w:sz w:val="5"/>
                <w:szCs w:val="5"/>
                <w:color w:val="auto"/>
              </w:rPr>
            </w:pPr>
          </w:p>
        </w:tc>
        <w:tc>
          <w:tcPr>
            <w:tcW w:w="7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1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72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160" w:type="dxa"/>
            <w:vAlign w:val="bottom"/>
            <w:vMerge w:val="continue"/>
          </w:tcPr>
          <w:p>
            <w:pPr>
              <w:spacing w:after="0"/>
              <w:rPr>
                <w:sz w:val="6"/>
                <w:szCs w:val="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8.</w:t>
            </w:r>
          </w:p>
        </w:tc>
        <w:tc>
          <w:tcPr>
            <w:tcW w:w="2100" w:type="dxa"/>
            <w:vAlign w:val="bottom"/>
            <w:vMerge w:val="restart"/>
          </w:tcPr>
          <w:p>
            <w:pPr>
              <w:ind w:left="220"/>
              <w:spacing w:after="0"/>
              <w:rPr>
                <w:sz w:val="20"/>
                <w:szCs w:val="20"/>
                <w:color w:val="auto"/>
              </w:rPr>
            </w:pPr>
            <w:r>
              <w:rPr>
                <w:rFonts w:ascii="Arial" w:cs="Arial" w:eastAsia="Arial" w:hAnsi="Arial"/>
                <w:sz w:val="18"/>
                <w:szCs w:val="18"/>
                <w:color w:val="auto"/>
                <w:w w:val="90"/>
              </w:rPr>
              <w:t>Shared Dispositive Power</w:t>
            </w:r>
          </w:p>
        </w:tc>
        <w:tc>
          <w:tcPr>
            <w:tcW w:w="7240" w:type="dxa"/>
            <w:vAlign w:val="bottom"/>
            <w:vMerge w:val="restart"/>
          </w:tcPr>
          <w:p>
            <w:pPr>
              <w:jc w:val="center"/>
              <w:ind w:right="5390"/>
              <w:spacing w:after="0"/>
              <w:rPr>
                <w:sz w:val="20"/>
                <w:szCs w:val="20"/>
                <w:color w:val="auto"/>
              </w:rPr>
            </w:pPr>
            <w:r>
              <w:rPr>
                <w:rFonts w:ascii="Arial" w:cs="Arial" w:eastAsia="Arial" w:hAnsi="Arial"/>
                <w:sz w:val="18"/>
                <w:szCs w:val="18"/>
                <w:b w:val="1"/>
                <w:bCs w:val="1"/>
                <w:color w:val="auto"/>
                <w:w w:val="86"/>
              </w:rPr>
              <w:t>3,032,911 shares</w:t>
            </w:r>
          </w:p>
        </w:tc>
        <w:tc>
          <w:tcPr>
            <w:tcW w:w="0" w:type="dxa"/>
            <w:vAlign w:val="bottom"/>
          </w:tcPr>
          <w:p>
            <w:pPr>
              <w:spacing w:after="0"/>
              <w:rPr>
                <w:sz w:val="1"/>
                <w:szCs w:val="1"/>
                <w:color w:val="auto"/>
              </w:rPr>
            </w:pPr>
          </w:p>
        </w:tc>
      </w:tr>
      <w:tr>
        <w:trPr>
          <w:trHeight w:val="153"/>
        </w:trPr>
        <w:tc>
          <w:tcPr>
            <w:tcW w:w="11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100" w:type="dxa"/>
            <w:vAlign w:val="bottom"/>
            <w:vMerge w:val="continue"/>
          </w:tcPr>
          <w:p>
            <w:pPr>
              <w:spacing w:after="0"/>
              <w:rPr>
                <w:sz w:val="13"/>
                <w:szCs w:val="13"/>
                <w:color w:val="auto"/>
              </w:rPr>
            </w:pPr>
          </w:p>
        </w:tc>
        <w:tc>
          <w:tcPr>
            <w:tcW w:w="7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b w:val="1"/>
          <w:bCs w:val="1"/>
          <w:color w:val="auto"/>
        </w:rPr>
        <w:t>3,032,911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0"/>
          <w:szCs w:val="20"/>
          <w:color w:val="auto"/>
        </w:rPr>
      </w:pPr>
    </w:p>
    <w:p>
      <w:pPr>
        <w:ind w:left="580"/>
        <w:spacing w:after="0" w:line="196" w:lineRule="exact"/>
        <w:tabs>
          <w:tab w:leader="none" w:pos="1140" w:val="left"/>
          <w:tab w:leader="none" w:pos="7660" w:val="left"/>
        </w:tabs>
        <w:rPr>
          <w:sz w:val="20"/>
          <w:szCs w:val="20"/>
          <w:color w:val="auto"/>
        </w:rPr>
      </w:pPr>
      <w:r>
        <w:rPr>
          <w:rFonts w:ascii="Arial" w:cs="Arial" w:eastAsia="Arial" w:hAnsi="Arial"/>
          <w:sz w:val="17"/>
          <w:szCs w:val="17"/>
          <w:color w:val="auto"/>
        </w:rPr>
        <w:t>10.</w:t>
      </w:r>
      <w:r>
        <w:rPr>
          <w:sz w:val="20"/>
          <w:szCs w:val="20"/>
          <w:color w:val="auto"/>
        </w:rPr>
        <w:tab/>
      </w:r>
      <w:r>
        <w:rPr>
          <w:rFonts w:ascii="Arial" w:cs="Arial" w:eastAsia="Arial" w:hAnsi="Arial"/>
          <w:sz w:val="17"/>
          <w:szCs w:val="17"/>
          <w:color w:val="auto"/>
        </w:rPr>
        <w:t>Check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3" w:lineRule="exact"/>
        <w:rPr>
          <w:sz w:val="20"/>
          <w:szCs w:val="20"/>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b w:val="1"/>
          <w:bCs w:val="1"/>
          <w:color w:val="auto"/>
        </w:rPr>
        <w:t>11.1%</w:t>
      </w:r>
    </w:p>
    <w:p>
      <w:pPr>
        <w:spacing w:after="0" w:line="242"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-687705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711835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66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M2239P109</w:t>
            </w:r>
          </w:p>
        </w:tc>
        <w:tc>
          <w:tcPr>
            <w:tcW w:w="2260" w:type="dxa"/>
            <w:vAlign w:val="bottom"/>
          </w:tcPr>
          <w:p>
            <w:pPr>
              <w:ind w:left="1860"/>
              <w:spacing w:after="0"/>
              <w:rPr>
                <w:sz w:val="20"/>
                <w:szCs w:val="20"/>
                <w:color w:val="auto"/>
              </w:rPr>
            </w:pPr>
            <w:r>
              <w:rPr>
                <w:rFonts w:ascii="Arial" w:cs="Arial" w:eastAsia="Arial" w:hAnsi="Arial"/>
                <w:sz w:val="22"/>
                <w:szCs w:val="22"/>
                <w:b w:val="1"/>
                <w:bCs w:val="1"/>
                <w:color w:val="auto"/>
                <w:w w:val="91"/>
              </w:rPr>
              <w:t>13G</w:t>
            </w:r>
          </w:p>
        </w:tc>
      </w:tr>
    </w:tbl>
    <w:p>
      <w:pPr>
        <w:spacing w:after="0" w:line="205" w:lineRule="exact"/>
        <w:rPr>
          <w:sz w:val="20"/>
          <w:szCs w:val="20"/>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Peter Kolchinsky</w:t>
      </w:r>
    </w:p>
    <w:p>
      <w:pPr>
        <w:spacing w:after="0" w:line="243" w:lineRule="exact"/>
        <w:rPr>
          <w:sz w:val="20"/>
          <w:szCs w:val="20"/>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740" w:hanging="571"/>
        <w:spacing w:after="0" w:line="207" w:lineRule="exact"/>
        <w:tabs>
          <w:tab w:leader="none" w:pos="174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740" w:hanging="571"/>
        <w:spacing w:after="0" w:line="207" w:lineRule="exact"/>
        <w:tabs>
          <w:tab w:leader="none" w:pos="174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-687705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16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4.</w:t>
            </w:r>
          </w:p>
        </w:tc>
        <w:tc>
          <w:tcPr>
            <w:tcW w:w="30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72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United States</w:t>
            </w:r>
          </w:p>
        </w:tc>
        <w:tc>
          <w:tcPr>
            <w:tcW w:w="0" w:type="dxa"/>
            <w:vAlign w:val="bottom"/>
          </w:tcPr>
          <w:p>
            <w:pPr>
              <w:spacing w:after="0"/>
              <w:rPr>
                <w:sz w:val="1"/>
                <w:szCs w:val="1"/>
                <w:color w:val="auto"/>
              </w:rPr>
            </w:pPr>
          </w:p>
        </w:tc>
      </w:tr>
      <w:tr>
        <w:trPr>
          <w:trHeight w:val="198"/>
        </w:trPr>
        <w:tc>
          <w:tcPr>
            <w:tcW w:w="1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7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10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7240" w:type="dxa"/>
            <w:vAlign w:val="bottom"/>
          </w:tcPr>
          <w:p>
            <w:pPr>
              <w:jc w:val="center"/>
              <w:ind w:right="5330"/>
              <w:spacing w:after="0"/>
              <w:rPr>
                <w:sz w:val="20"/>
                <w:szCs w:val="20"/>
                <w:color w:val="auto"/>
              </w:rPr>
            </w:pPr>
            <w:r>
              <w:rPr>
                <w:rFonts w:ascii="Arial" w:cs="Arial" w:eastAsia="Arial" w:hAnsi="Arial"/>
                <w:sz w:val="18"/>
                <w:szCs w:val="18"/>
                <w:b w:val="1"/>
                <w:bCs w:val="1"/>
                <w:color w:val="auto"/>
                <w:w w:val="84"/>
              </w:rPr>
              <w:t>0 shares</w:t>
            </w:r>
          </w:p>
        </w:tc>
        <w:tc>
          <w:tcPr>
            <w:tcW w:w="0" w:type="dxa"/>
            <w:vAlign w:val="bottom"/>
          </w:tcPr>
          <w:p>
            <w:pPr>
              <w:spacing w:after="0"/>
              <w:rPr>
                <w:sz w:val="1"/>
                <w:szCs w:val="1"/>
                <w:color w:val="auto"/>
              </w:rPr>
            </w:pPr>
          </w:p>
        </w:tc>
      </w:tr>
      <w:tr>
        <w:trPr>
          <w:trHeight w:val="89"/>
        </w:trPr>
        <w:tc>
          <w:tcPr>
            <w:tcW w:w="11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100" w:type="dxa"/>
            <w:vAlign w:val="bottom"/>
          </w:tcPr>
          <w:p>
            <w:pPr>
              <w:spacing w:after="0"/>
              <w:rPr>
                <w:sz w:val="7"/>
                <w:szCs w:val="7"/>
                <w:color w:val="auto"/>
              </w:rPr>
            </w:pPr>
          </w:p>
        </w:tc>
        <w:tc>
          <w:tcPr>
            <w:tcW w:w="7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16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72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160" w:type="dxa"/>
            <w:vAlign w:val="bottom"/>
            <w:vMerge w:val="continue"/>
          </w:tcPr>
          <w:p>
            <w:pPr>
              <w:spacing w:after="0"/>
              <w:rPr>
                <w:sz w:val="7"/>
                <w:szCs w:val="7"/>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w:t>
            </w:r>
          </w:p>
        </w:tc>
        <w:tc>
          <w:tcPr>
            <w:tcW w:w="210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7240" w:type="dxa"/>
            <w:vAlign w:val="bottom"/>
            <w:vMerge w:val="restart"/>
          </w:tcPr>
          <w:p>
            <w:pPr>
              <w:jc w:val="center"/>
              <w:ind w:right="5350"/>
              <w:spacing w:after="0"/>
              <w:rPr>
                <w:sz w:val="20"/>
                <w:szCs w:val="20"/>
                <w:color w:val="auto"/>
              </w:rPr>
            </w:pPr>
            <w:r>
              <w:rPr>
                <w:rFonts w:ascii="Arial" w:cs="Arial" w:eastAsia="Arial" w:hAnsi="Arial"/>
                <w:sz w:val="18"/>
                <w:szCs w:val="18"/>
                <w:b w:val="1"/>
                <w:bCs w:val="1"/>
                <w:color w:val="auto"/>
                <w:w w:val="86"/>
              </w:rPr>
              <w:t>3,032,911 shares</w:t>
            </w:r>
          </w:p>
        </w:tc>
        <w:tc>
          <w:tcPr>
            <w:tcW w:w="0" w:type="dxa"/>
            <w:vAlign w:val="bottom"/>
          </w:tcPr>
          <w:p>
            <w:pPr>
              <w:spacing w:after="0"/>
              <w:rPr>
                <w:sz w:val="1"/>
                <w:szCs w:val="1"/>
                <w:color w:val="auto"/>
              </w:rPr>
            </w:pPr>
          </w:p>
        </w:tc>
      </w:tr>
      <w:tr>
        <w:trPr>
          <w:trHeight w:val="141"/>
        </w:trPr>
        <w:tc>
          <w:tcPr>
            <w:tcW w:w="116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920" w:type="dxa"/>
            <w:vAlign w:val="bottom"/>
            <w:gridSpan w:val="2"/>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7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1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100" w:type="dxa"/>
            <w:vAlign w:val="bottom"/>
          </w:tcPr>
          <w:p>
            <w:pPr>
              <w:spacing w:after="0"/>
              <w:rPr>
                <w:sz w:val="6"/>
                <w:szCs w:val="6"/>
                <w:color w:val="auto"/>
              </w:rPr>
            </w:pPr>
          </w:p>
        </w:tc>
        <w:tc>
          <w:tcPr>
            <w:tcW w:w="7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6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7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160" w:type="dxa"/>
            <w:vAlign w:val="bottom"/>
            <w:vMerge w:val="continue"/>
          </w:tcPr>
          <w:p>
            <w:pPr>
              <w:spacing w:after="0"/>
              <w:rPr>
                <w:sz w:val="6"/>
                <w:szCs w:val="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7.</w:t>
            </w:r>
          </w:p>
        </w:tc>
        <w:tc>
          <w:tcPr>
            <w:tcW w:w="210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7240" w:type="dxa"/>
            <w:vAlign w:val="bottom"/>
            <w:vMerge w:val="restart"/>
          </w:tcPr>
          <w:p>
            <w:pPr>
              <w:jc w:val="center"/>
              <w:ind w:right="5370"/>
              <w:spacing w:after="0"/>
              <w:rPr>
                <w:sz w:val="20"/>
                <w:szCs w:val="20"/>
                <w:color w:val="auto"/>
              </w:rPr>
            </w:pPr>
            <w:r>
              <w:rPr>
                <w:rFonts w:ascii="Arial" w:cs="Arial" w:eastAsia="Arial" w:hAnsi="Arial"/>
                <w:sz w:val="18"/>
                <w:szCs w:val="18"/>
                <w:b w:val="1"/>
                <w:bCs w:val="1"/>
                <w:color w:val="auto"/>
                <w:w w:val="84"/>
              </w:rPr>
              <w:t>0 shares</w:t>
            </w:r>
          </w:p>
        </w:tc>
        <w:tc>
          <w:tcPr>
            <w:tcW w:w="0" w:type="dxa"/>
            <w:vAlign w:val="bottom"/>
          </w:tcPr>
          <w:p>
            <w:pPr>
              <w:spacing w:after="0"/>
              <w:rPr>
                <w:sz w:val="1"/>
                <w:szCs w:val="1"/>
                <w:color w:val="auto"/>
              </w:rPr>
            </w:pPr>
          </w:p>
        </w:tc>
      </w:tr>
      <w:tr>
        <w:trPr>
          <w:trHeight w:val="154"/>
        </w:trPr>
        <w:tc>
          <w:tcPr>
            <w:tcW w:w="1160" w:type="dxa"/>
            <w:vAlign w:val="bottom"/>
            <w:vMerge w:val="restart"/>
          </w:tcPr>
          <w:p>
            <w:pPr>
              <w:spacing w:after="0"/>
              <w:rPr>
                <w:sz w:val="20"/>
                <w:szCs w:val="20"/>
                <w:color w:val="auto"/>
              </w:rPr>
            </w:pPr>
            <w:r>
              <w:rPr>
                <w:rFonts w:ascii="Arial" w:cs="Arial" w:eastAsia="Arial" w:hAnsi="Arial"/>
                <w:sz w:val="18"/>
                <w:szCs w:val="18"/>
                <w:color w:val="auto"/>
                <w:w w:val="91"/>
              </w:rPr>
              <w:t>Each Reporting</w:t>
            </w:r>
          </w:p>
        </w:tc>
        <w:tc>
          <w:tcPr>
            <w:tcW w:w="920" w:type="dxa"/>
            <w:vAlign w:val="bottom"/>
            <w:gridSpan w:val="2"/>
            <w:vMerge w:val="continue"/>
          </w:tcPr>
          <w:p>
            <w:pPr>
              <w:spacing w:after="0"/>
              <w:rPr>
                <w:sz w:val="13"/>
                <w:szCs w:val="13"/>
                <w:color w:val="auto"/>
              </w:rPr>
            </w:pPr>
          </w:p>
        </w:tc>
        <w:tc>
          <w:tcPr>
            <w:tcW w:w="2100" w:type="dxa"/>
            <w:vAlign w:val="bottom"/>
            <w:vMerge w:val="continue"/>
          </w:tcPr>
          <w:p>
            <w:pPr>
              <w:spacing w:after="0"/>
              <w:rPr>
                <w:sz w:val="13"/>
                <w:szCs w:val="13"/>
                <w:color w:val="auto"/>
              </w:rPr>
            </w:pPr>
          </w:p>
        </w:tc>
        <w:tc>
          <w:tcPr>
            <w:tcW w:w="7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1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100" w:type="dxa"/>
            <w:vAlign w:val="bottom"/>
          </w:tcPr>
          <w:p>
            <w:pPr>
              <w:spacing w:after="0"/>
              <w:rPr>
                <w:sz w:val="5"/>
                <w:szCs w:val="5"/>
                <w:color w:val="auto"/>
              </w:rPr>
            </w:pPr>
          </w:p>
        </w:tc>
        <w:tc>
          <w:tcPr>
            <w:tcW w:w="7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1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72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160" w:type="dxa"/>
            <w:vAlign w:val="bottom"/>
            <w:vMerge w:val="continue"/>
          </w:tcPr>
          <w:p>
            <w:pPr>
              <w:spacing w:after="0"/>
              <w:rPr>
                <w:sz w:val="6"/>
                <w:szCs w:val="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8.</w:t>
            </w:r>
          </w:p>
        </w:tc>
        <w:tc>
          <w:tcPr>
            <w:tcW w:w="2100" w:type="dxa"/>
            <w:vAlign w:val="bottom"/>
            <w:vMerge w:val="restart"/>
          </w:tcPr>
          <w:p>
            <w:pPr>
              <w:ind w:left="220"/>
              <w:spacing w:after="0"/>
              <w:rPr>
                <w:sz w:val="20"/>
                <w:szCs w:val="20"/>
                <w:color w:val="auto"/>
              </w:rPr>
            </w:pPr>
            <w:r>
              <w:rPr>
                <w:rFonts w:ascii="Arial" w:cs="Arial" w:eastAsia="Arial" w:hAnsi="Arial"/>
                <w:sz w:val="18"/>
                <w:szCs w:val="18"/>
                <w:color w:val="auto"/>
                <w:w w:val="90"/>
              </w:rPr>
              <w:t>Shared Dispositive Power</w:t>
            </w:r>
          </w:p>
        </w:tc>
        <w:tc>
          <w:tcPr>
            <w:tcW w:w="724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3,032,911 shares</w:t>
            </w:r>
          </w:p>
        </w:tc>
        <w:tc>
          <w:tcPr>
            <w:tcW w:w="0" w:type="dxa"/>
            <w:vAlign w:val="bottom"/>
          </w:tcPr>
          <w:p>
            <w:pPr>
              <w:spacing w:after="0"/>
              <w:rPr>
                <w:sz w:val="1"/>
                <w:szCs w:val="1"/>
                <w:color w:val="auto"/>
              </w:rPr>
            </w:pPr>
          </w:p>
        </w:tc>
      </w:tr>
      <w:tr>
        <w:trPr>
          <w:trHeight w:val="153"/>
        </w:trPr>
        <w:tc>
          <w:tcPr>
            <w:tcW w:w="11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100" w:type="dxa"/>
            <w:vAlign w:val="bottom"/>
            <w:vMerge w:val="continue"/>
          </w:tcPr>
          <w:p>
            <w:pPr>
              <w:spacing w:after="0"/>
              <w:rPr>
                <w:sz w:val="13"/>
                <w:szCs w:val="13"/>
                <w:color w:val="auto"/>
              </w:rPr>
            </w:pPr>
          </w:p>
        </w:tc>
        <w:tc>
          <w:tcPr>
            <w:tcW w:w="7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b w:val="1"/>
          <w:bCs w:val="1"/>
          <w:color w:val="auto"/>
        </w:rPr>
        <w:t>3,032,911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0"/>
          <w:szCs w:val="20"/>
          <w:color w:val="auto"/>
        </w:rPr>
      </w:pPr>
    </w:p>
    <w:p>
      <w:pPr>
        <w:ind w:left="580"/>
        <w:spacing w:after="0" w:line="196" w:lineRule="exact"/>
        <w:tabs>
          <w:tab w:leader="none" w:pos="1140" w:val="left"/>
          <w:tab w:leader="none" w:pos="7620" w:val="left"/>
        </w:tabs>
        <w:rPr>
          <w:sz w:val="20"/>
          <w:szCs w:val="20"/>
          <w:color w:val="auto"/>
        </w:rPr>
      </w:pPr>
      <w:r>
        <w:rPr>
          <w:rFonts w:ascii="Arial" w:cs="Arial" w:eastAsia="Arial" w:hAnsi="Arial"/>
          <w:sz w:val="17"/>
          <w:szCs w:val="17"/>
          <w:color w:val="auto"/>
        </w:rPr>
        <w:t>10.</w:t>
      </w:r>
      <w:r>
        <w:rPr>
          <w:sz w:val="20"/>
          <w:szCs w:val="20"/>
          <w:color w:val="auto"/>
        </w:rPr>
        <w:tab/>
      </w:r>
      <w:r>
        <w:rPr>
          <w:rFonts w:ascii="Arial" w:cs="Arial" w:eastAsia="Arial" w:hAnsi="Arial"/>
          <w:sz w:val="17"/>
          <w:szCs w:val="17"/>
          <w:color w:val="auto"/>
        </w:rPr>
        <w:t>Check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3" w:lineRule="exact"/>
        <w:rPr>
          <w:sz w:val="20"/>
          <w:szCs w:val="20"/>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b w:val="1"/>
          <w:bCs w:val="1"/>
          <w:color w:val="auto"/>
        </w:rPr>
        <w:t>11.1%</w:t>
      </w:r>
    </w:p>
    <w:p>
      <w:pPr>
        <w:spacing w:after="0" w:line="242"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-687705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711835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1"/>
        </w:trPr>
        <w:tc>
          <w:tcPr>
            <w:tcW w:w="370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M2239P109</w:t>
            </w:r>
          </w:p>
        </w:tc>
        <w:tc>
          <w:tcPr>
            <w:tcW w:w="2220" w:type="dxa"/>
            <w:vAlign w:val="bottom"/>
          </w:tcPr>
          <w:p>
            <w:pPr>
              <w:ind w:left="1820"/>
              <w:spacing w:after="0"/>
              <w:rPr>
                <w:sz w:val="20"/>
                <w:szCs w:val="20"/>
                <w:color w:val="auto"/>
              </w:rPr>
            </w:pPr>
            <w:r>
              <w:rPr>
                <w:rFonts w:ascii="Arial" w:cs="Arial" w:eastAsia="Arial" w:hAnsi="Arial"/>
                <w:sz w:val="22"/>
                <w:szCs w:val="22"/>
                <w:b w:val="1"/>
                <w:bCs w:val="1"/>
                <w:color w:val="auto"/>
                <w:w w:val="91"/>
              </w:rPr>
              <w:t>13G</w:t>
            </w:r>
          </w:p>
        </w:tc>
      </w:tr>
    </w:tbl>
    <w:p>
      <w:pPr>
        <w:spacing w:after="0" w:line="205" w:lineRule="exact"/>
        <w:rPr>
          <w:sz w:val="20"/>
          <w:szCs w:val="20"/>
          <w:color w:val="auto"/>
        </w:rPr>
      </w:pPr>
    </w:p>
    <w:p>
      <w:pPr>
        <w:ind w:left="1160" w:hanging="571"/>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RA Capital Healthcare Fund, L.P.</w:t>
      </w:r>
    </w:p>
    <w:p>
      <w:pPr>
        <w:spacing w:after="0" w:line="243" w:lineRule="exact"/>
        <w:rPr>
          <w:sz w:val="20"/>
          <w:szCs w:val="20"/>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740" w:hanging="571"/>
        <w:spacing w:after="0" w:line="207" w:lineRule="exact"/>
        <w:tabs>
          <w:tab w:leader="none" w:pos="174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740" w:hanging="571"/>
        <w:spacing w:after="0" w:line="207" w:lineRule="exact"/>
        <w:tabs>
          <w:tab w:leader="none" w:pos="174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-687705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16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4.</w:t>
            </w:r>
          </w:p>
        </w:tc>
        <w:tc>
          <w:tcPr>
            <w:tcW w:w="30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72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Delaware</w:t>
            </w:r>
          </w:p>
        </w:tc>
        <w:tc>
          <w:tcPr>
            <w:tcW w:w="0" w:type="dxa"/>
            <w:vAlign w:val="bottom"/>
          </w:tcPr>
          <w:p>
            <w:pPr>
              <w:spacing w:after="0"/>
              <w:rPr>
                <w:sz w:val="1"/>
                <w:szCs w:val="1"/>
                <w:color w:val="auto"/>
              </w:rPr>
            </w:pPr>
          </w:p>
        </w:tc>
      </w:tr>
      <w:tr>
        <w:trPr>
          <w:trHeight w:val="198"/>
        </w:trPr>
        <w:tc>
          <w:tcPr>
            <w:tcW w:w="1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7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10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7240" w:type="dxa"/>
            <w:vAlign w:val="bottom"/>
          </w:tcPr>
          <w:p>
            <w:pPr>
              <w:jc w:val="center"/>
              <w:ind w:right="5330"/>
              <w:spacing w:after="0"/>
              <w:rPr>
                <w:sz w:val="20"/>
                <w:szCs w:val="20"/>
                <w:color w:val="auto"/>
              </w:rPr>
            </w:pPr>
            <w:r>
              <w:rPr>
                <w:rFonts w:ascii="Arial" w:cs="Arial" w:eastAsia="Arial" w:hAnsi="Arial"/>
                <w:sz w:val="18"/>
                <w:szCs w:val="18"/>
                <w:b w:val="1"/>
                <w:bCs w:val="1"/>
                <w:color w:val="auto"/>
                <w:w w:val="84"/>
              </w:rPr>
              <w:t>0 shares</w:t>
            </w:r>
          </w:p>
        </w:tc>
        <w:tc>
          <w:tcPr>
            <w:tcW w:w="0" w:type="dxa"/>
            <w:vAlign w:val="bottom"/>
          </w:tcPr>
          <w:p>
            <w:pPr>
              <w:spacing w:after="0"/>
              <w:rPr>
                <w:sz w:val="1"/>
                <w:szCs w:val="1"/>
                <w:color w:val="auto"/>
              </w:rPr>
            </w:pPr>
          </w:p>
        </w:tc>
      </w:tr>
      <w:tr>
        <w:trPr>
          <w:trHeight w:val="89"/>
        </w:trPr>
        <w:tc>
          <w:tcPr>
            <w:tcW w:w="11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100" w:type="dxa"/>
            <w:vAlign w:val="bottom"/>
          </w:tcPr>
          <w:p>
            <w:pPr>
              <w:spacing w:after="0"/>
              <w:rPr>
                <w:sz w:val="7"/>
                <w:szCs w:val="7"/>
                <w:color w:val="auto"/>
              </w:rPr>
            </w:pPr>
          </w:p>
        </w:tc>
        <w:tc>
          <w:tcPr>
            <w:tcW w:w="7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16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72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160" w:type="dxa"/>
            <w:vAlign w:val="bottom"/>
            <w:vMerge w:val="continue"/>
          </w:tcPr>
          <w:p>
            <w:pPr>
              <w:spacing w:after="0"/>
              <w:rPr>
                <w:sz w:val="7"/>
                <w:szCs w:val="7"/>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w:t>
            </w:r>
          </w:p>
        </w:tc>
        <w:tc>
          <w:tcPr>
            <w:tcW w:w="210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7240" w:type="dxa"/>
            <w:vAlign w:val="bottom"/>
            <w:vMerge w:val="restart"/>
          </w:tcPr>
          <w:p>
            <w:pPr>
              <w:jc w:val="center"/>
              <w:ind w:right="5330"/>
              <w:spacing w:after="0"/>
              <w:rPr>
                <w:sz w:val="20"/>
                <w:szCs w:val="20"/>
                <w:color w:val="auto"/>
              </w:rPr>
            </w:pPr>
            <w:r>
              <w:rPr>
                <w:rFonts w:ascii="Arial" w:cs="Arial" w:eastAsia="Arial" w:hAnsi="Arial"/>
                <w:sz w:val="18"/>
                <w:szCs w:val="18"/>
                <w:b w:val="1"/>
                <w:bCs w:val="1"/>
                <w:color w:val="auto"/>
                <w:w w:val="88"/>
              </w:rPr>
              <w:t>2,514,921 shares</w:t>
            </w:r>
          </w:p>
        </w:tc>
        <w:tc>
          <w:tcPr>
            <w:tcW w:w="0" w:type="dxa"/>
            <w:vAlign w:val="bottom"/>
          </w:tcPr>
          <w:p>
            <w:pPr>
              <w:spacing w:after="0"/>
              <w:rPr>
                <w:sz w:val="1"/>
                <w:szCs w:val="1"/>
                <w:color w:val="auto"/>
              </w:rPr>
            </w:pPr>
          </w:p>
        </w:tc>
      </w:tr>
      <w:tr>
        <w:trPr>
          <w:trHeight w:val="141"/>
        </w:trPr>
        <w:tc>
          <w:tcPr>
            <w:tcW w:w="116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920" w:type="dxa"/>
            <w:vAlign w:val="bottom"/>
            <w:gridSpan w:val="2"/>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7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1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100" w:type="dxa"/>
            <w:vAlign w:val="bottom"/>
          </w:tcPr>
          <w:p>
            <w:pPr>
              <w:spacing w:after="0"/>
              <w:rPr>
                <w:sz w:val="6"/>
                <w:szCs w:val="6"/>
                <w:color w:val="auto"/>
              </w:rPr>
            </w:pPr>
          </w:p>
        </w:tc>
        <w:tc>
          <w:tcPr>
            <w:tcW w:w="7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6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7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160" w:type="dxa"/>
            <w:vAlign w:val="bottom"/>
            <w:vMerge w:val="continue"/>
          </w:tcPr>
          <w:p>
            <w:pPr>
              <w:spacing w:after="0"/>
              <w:rPr>
                <w:sz w:val="6"/>
                <w:szCs w:val="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7.</w:t>
            </w:r>
          </w:p>
        </w:tc>
        <w:tc>
          <w:tcPr>
            <w:tcW w:w="210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7240" w:type="dxa"/>
            <w:vAlign w:val="bottom"/>
            <w:vMerge w:val="restart"/>
          </w:tcPr>
          <w:p>
            <w:pPr>
              <w:jc w:val="center"/>
              <w:ind w:right="5370"/>
              <w:spacing w:after="0"/>
              <w:rPr>
                <w:sz w:val="20"/>
                <w:szCs w:val="20"/>
                <w:color w:val="auto"/>
              </w:rPr>
            </w:pPr>
            <w:r>
              <w:rPr>
                <w:rFonts w:ascii="Arial" w:cs="Arial" w:eastAsia="Arial" w:hAnsi="Arial"/>
                <w:sz w:val="18"/>
                <w:szCs w:val="18"/>
                <w:b w:val="1"/>
                <w:bCs w:val="1"/>
                <w:color w:val="auto"/>
                <w:w w:val="84"/>
              </w:rPr>
              <w:t>0 shares</w:t>
            </w:r>
          </w:p>
        </w:tc>
        <w:tc>
          <w:tcPr>
            <w:tcW w:w="0" w:type="dxa"/>
            <w:vAlign w:val="bottom"/>
          </w:tcPr>
          <w:p>
            <w:pPr>
              <w:spacing w:after="0"/>
              <w:rPr>
                <w:sz w:val="1"/>
                <w:szCs w:val="1"/>
                <w:color w:val="auto"/>
              </w:rPr>
            </w:pPr>
          </w:p>
        </w:tc>
      </w:tr>
      <w:tr>
        <w:trPr>
          <w:trHeight w:val="154"/>
        </w:trPr>
        <w:tc>
          <w:tcPr>
            <w:tcW w:w="1160" w:type="dxa"/>
            <w:vAlign w:val="bottom"/>
            <w:vMerge w:val="restart"/>
          </w:tcPr>
          <w:p>
            <w:pPr>
              <w:spacing w:after="0"/>
              <w:rPr>
                <w:sz w:val="20"/>
                <w:szCs w:val="20"/>
                <w:color w:val="auto"/>
              </w:rPr>
            </w:pPr>
            <w:r>
              <w:rPr>
                <w:rFonts w:ascii="Arial" w:cs="Arial" w:eastAsia="Arial" w:hAnsi="Arial"/>
                <w:sz w:val="18"/>
                <w:szCs w:val="18"/>
                <w:color w:val="auto"/>
                <w:w w:val="91"/>
              </w:rPr>
              <w:t>Each Reporting</w:t>
            </w:r>
          </w:p>
        </w:tc>
        <w:tc>
          <w:tcPr>
            <w:tcW w:w="920" w:type="dxa"/>
            <w:vAlign w:val="bottom"/>
            <w:gridSpan w:val="2"/>
            <w:vMerge w:val="continue"/>
          </w:tcPr>
          <w:p>
            <w:pPr>
              <w:spacing w:after="0"/>
              <w:rPr>
                <w:sz w:val="13"/>
                <w:szCs w:val="13"/>
                <w:color w:val="auto"/>
              </w:rPr>
            </w:pPr>
          </w:p>
        </w:tc>
        <w:tc>
          <w:tcPr>
            <w:tcW w:w="2100" w:type="dxa"/>
            <w:vAlign w:val="bottom"/>
            <w:vMerge w:val="continue"/>
          </w:tcPr>
          <w:p>
            <w:pPr>
              <w:spacing w:after="0"/>
              <w:rPr>
                <w:sz w:val="13"/>
                <w:szCs w:val="13"/>
                <w:color w:val="auto"/>
              </w:rPr>
            </w:pPr>
          </w:p>
        </w:tc>
        <w:tc>
          <w:tcPr>
            <w:tcW w:w="7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1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100" w:type="dxa"/>
            <w:vAlign w:val="bottom"/>
          </w:tcPr>
          <w:p>
            <w:pPr>
              <w:spacing w:after="0"/>
              <w:rPr>
                <w:sz w:val="5"/>
                <w:szCs w:val="5"/>
                <w:color w:val="auto"/>
              </w:rPr>
            </w:pPr>
          </w:p>
        </w:tc>
        <w:tc>
          <w:tcPr>
            <w:tcW w:w="7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1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72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160" w:type="dxa"/>
            <w:vAlign w:val="bottom"/>
            <w:vMerge w:val="continue"/>
          </w:tcPr>
          <w:p>
            <w:pPr>
              <w:spacing w:after="0"/>
              <w:rPr>
                <w:sz w:val="6"/>
                <w:szCs w:val="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8.</w:t>
            </w:r>
          </w:p>
        </w:tc>
        <w:tc>
          <w:tcPr>
            <w:tcW w:w="2100" w:type="dxa"/>
            <w:vAlign w:val="bottom"/>
            <w:vMerge w:val="restart"/>
          </w:tcPr>
          <w:p>
            <w:pPr>
              <w:ind w:left="220"/>
              <w:spacing w:after="0"/>
              <w:rPr>
                <w:sz w:val="20"/>
                <w:szCs w:val="20"/>
                <w:color w:val="auto"/>
              </w:rPr>
            </w:pPr>
            <w:r>
              <w:rPr>
                <w:rFonts w:ascii="Arial" w:cs="Arial" w:eastAsia="Arial" w:hAnsi="Arial"/>
                <w:sz w:val="18"/>
                <w:szCs w:val="18"/>
                <w:color w:val="auto"/>
                <w:w w:val="90"/>
              </w:rPr>
              <w:t>Shared Dispositive Power</w:t>
            </w:r>
          </w:p>
        </w:tc>
        <w:tc>
          <w:tcPr>
            <w:tcW w:w="7240" w:type="dxa"/>
            <w:vAlign w:val="bottom"/>
            <w:vMerge w:val="restart"/>
          </w:tcPr>
          <w:p>
            <w:pPr>
              <w:jc w:val="center"/>
              <w:ind w:right="5370"/>
              <w:spacing w:after="0"/>
              <w:rPr>
                <w:sz w:val="20"/>
                <w:szCs w:val="20"/>
                <w:color w:val="auto"/>
              </w:rPr>
            </w:pPr>
            <w:r>
              <w:rPr>
                <w:rFonts w:ascii="Arial" w:cs="Arial" w:eastAsia="Arial" w:hAnsi="Arial"/>
                <w:sz w:val="18"/>
                <w:szCs w:val="18"/>
                <w:b w:val="1"/>
                <w:bCs w:val="1"/>
                <w:color w:val="auto"/>
                <w:w w:val="88"/>
              </w:rPr>
              <w:t>2,514,921 shares</w:t>
            </w:r>
          </w:p>
        </w:tc>
        <w:tc>
          <w:tcPr>
            <w:tcW w:w="0" w:type="dxa"/>
            <w:vAlign w:val="bottom"/>
          </w:tcPr>
          <w:p>
            <w:pPr>
              <w:spacing w:after="0"/>
              <w:rPr>
                <w:sz w:val="1"/>
                <w:szCs w:val="1"/>
                <w:color w:val="auto"/>
              </w:rPr>
            </w:pPr>
          </w:p>
        </w:tc>
      </w:tr>
      <w:tr>
        <w:trPr>
          <w:trHeight w:val="153"/>
        </w:trPr>
        <w:tc>
          <w:tcPr>
            <w:tcW w:w="11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100" w:type="dxa"/>
            <w:vAlign w:val="bottom"/>
            <w:vMerge w:val="continue"/>
          </w:tcPr>
          <w:p>
            <w:pPr>
              <w:spacing w:after="0"/>
              <w:rPr>
                <w:sz w:val="13"/>
                <w:szCs w:val="13"/>
                <w:color w:val="auto"/>
              </w:rPr>
            </w:pPr>
          </w:p>
        </w:tc>
        <w:tc>
          <w:tcPr>
            <w:tcW w:w="7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b w:val="1"/>
          <w:bCs w:val="1"/>
          <w:color w:val="auto"/>
        </w:rPr>
        <w:t>2,514,921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0"/>
          <w:szCs w:val="20"/>
          <w:color w:val="auto"/>
        </w:rPr>
      </w:pPr>
    </w:p>
    <w:p>
      <w:pPr>
        <w:ind w:left="580"/>
        <w:spacing w:after="0" w:line="196" w:lineRule="exact"/>
        <w:tabs>
          <w:tab w:leader="none" w:pos="1140" w:val="left"/>
          <w:tab w:leader="none" w:pos="7620" w:val="left"/>
        </w:tabs>
        <w:rPr>
          <w:sz w:val="20"/>
          <w:szCs w:val="20"/>
          <w:color w:val="auto"/>
        </w:rPr>
      </w:pPr>
      <w:r>
        <w:rPr>
          <w:rFonts w:ascii="Arial" w:cs="Arial" w:eastAsia="Arial" w:hAnsi="Arial"/>
          <w:sz w:val="17"/>
          <w:szCs w:val="17"/>
          <w:color w:val="auto"/>
        </w:rPr>
        <w:t>10.</w:t>
      </w:r>
      <w:r>
        <w:rPr>
          <w:sz w:val="20"/>
          <w:szCs w:val="20"/>
          <w:color w:val="auto"/>
        </w:rPr>
        <w:tab/>
      </w:r>
      <w:r>
        <w:rPr>
          <w:rFonts w:ascii="Arial" w:cs="Arial" w:eastAsia="Arial" w:hAnsi="Arial"/>
          <w:sz w:val="17"/>
          <w:szCs w:val="17"/>
          <w:color w:val="auto"/>
        </w:rPr>
        <w:t>Check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3" w:lineRule="exact"/>
        <w:rPr>
          <w:sz w:val="20"/>
          <w:szCs w:val="20"/>
          <w:color w:val="auto"/>
        </w:rPr>
      </w:pPr>
    </w:p>
    <w:p>
      <w:pPr>
        <w:ind w:left="1160" w:hanging="57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b w:val="1"/>
          <w:bCs w:val="1"/>
          <w:color w:val="auto"/>
        </w:rPr>
        <w:t>9.2%</w:t>
      </w:r>
    </w:p>
    <w:p>
      <w:pPr>
        <w:spacing w:after="0" w:line="242" w:lineRule="exact"/>
        <w:rPr>
          <w:rFonts w:ascii="Arial" w:cs="Arial" w:eastAsia="Arial" w:hAnsi="Arial"/>
          <w:sz w:val="18"/>
          <w:szCs w:val="18"/>
          <w:color w:val="auto"/>
        </w:rPr>
      </w:pPr>
    </w:p>
    <w:p>
      <w:pPr>
        <w:ind w:left="1160" w:hanging="57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-687705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PN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711835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M2239P109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5"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Name of Issuer: </w:t>
      </w:r>
      <w:r>
        <w:rPr>
          <w:rFonts w:ascii="Arial" w:cs="Arial" w:eastAsia="Arial" w:hAnsi="Arial"/>
          <w:sz w:val="18"/>
          <w:szCs w:val="18"/>
          <w:color w:val="auto"/>
        </w:rPr>
        <w:t>ALCOBRA LTD. (the “Issuer”).</w:t>
      </w:r>
    </w:p>
    <w:p>
      <w:pPr>
        <w:spacing w:after="0" w:line="232"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Address of the Issuer’s Principal Executive Offices: </w:t>
      </w:r>
      <w:r>
        <w:rPr>
          <w:rFonts w:ascii="Arial" w:cs="Arial" w:eastAsia="Arial" w:hAnsi="Arial"/>
          <w:sz w:val="18"/>
          <w:szCs w:val="18"/>
          <w:color w:val="auto"/>
        </w:rPr>
        <w:t>Amot Investment Building, 2 Weizman Street, 9</w:t>
      </w:r>
      <w:r>
        <w:rPr>
          <w:rFonts w:ascii="Arial" w:cs="Arial" w:eastAsia="Arial" w:hAnsi="Arial"/>
          <w:sz w:val="30"/>
          <w:szCs w:val="30"/>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Tel Aviv 6423902 Israel.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ind w:right="20" w:firstLine="8"/>
        <w:spacing w:after="0" w:line="313" w:lineRule="auto"/>
        <w:tabs>
          <w:tab w:leader="none" w:pos="258"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Name of Person Filing: </w:t>
      </w:r>
      <w:r>
        <w:rPr>
          <w:rFonts w:ascii="Arial" w:cs="Arial" w:eastAsia="Arial" w:hAnsi="Arial"/>
          <w:sz w:val="17"/>
          <w:szCs w:val="17"/>
          <w:color w:val="auto"/>
        </w:rPr>
        <w:t>This joint statement on Schedule 13G is being filed by Peter Kolchinsky, RA Capital Management, LLC (“Capital”), and RA</w:t>
      </w:r>
      <w:r>
        <w:rPr>
          <w:rFonts w:ascii="Arial" w:cs="Arial" w:eastAsia="Arial" w:hAnsi="Arial"/>
          <w:sz w:val="17"/>
          <w:szCs w:val="17"/>
          <w:b w:val="1"/>
          <w:bCs w:val="1"/>
          <w:color w:val="auto"/>
        </w:rPr>
        <w:t xml:space="preserve"> </w:t>
      </w:r>
      <w:r>
        <w:rPr>
          <w:rFonts w:ascii="Arial" w:cs="Arial" w:eastAsia="Arial" w:hAnsi="Arial"/>
          <w:sz w:val="17"/>
          <w:szCs w:val="17"/>
          <w:color w:val="auto"/>
        </w:rPr>
        <w:t>Capital Healthcare Fund, L.P. (the “Fund”). Mr. Kolchinsky, Capital and the Fund are collectively referred to herein as the “Reporting Persons.”</w:t>
      </w:r>
    </w:p>
    <w:p>
      <w:pPr>
        <w:spacing w:after="0" w:line="138" w:lineRule="exact"/>
        <w:rPr>
          <w:rFonts w:ascii="Arial" w:cs="Arial" w:eastAsia="Arial" w:hAnsi="Arial"/>
          <w:sz w:val="17"/>
          <w:szCs w:val="17"/>
          <w:color w:val="auto"/>
        </w:rPr>
      </w:pPr>
    </w:p>
    <w:p>
      <w:pPr>
        <w:ind w:firstLine="8"/>
        <w:spacing w:after="0" w:line="282"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Address of Principal Business Office: </w:t>
      </w:r>
      <w:r>
        <w:rPr>
          <w:rFonts w:ascii="Arial" w:cs="Arial" w:eastAsia="Arial" w:hAnsi="Arial"/>
          <w:sz w:val="18"/>
          <w:szCs w:val="18"/>
          <w:color w:val="auto"/>
        </w:rPr>
        <w:t>The principal business office of the Reporting Persons is c/o RA Capital Management, LLC, 20 Park Plaza, Suite</w:t>
      </w:r>
      <w:r>
        <w:rPr>
          <w:rFonts w:ascii="Arial" w:cs="Arial" w:eastAsia="Arial" w:hAnsi="Arial"/>
          <w:sz w:val="18"/>
          <w:szCs w:val="18"/>
          <w:b w:val="1"/>
          <w:bCs w:val="1"/>
          <w:color w:val="auto"/>
        </w:rPr>
        <w:t xml:space="preserve"> </w:t>
      </w:r>
      <w:r>
        <w:rPr>
          <w:rFonts w:ascii="Arial" w:cs="Arial" w:eastAsia="Arial" w:hAnsi="Arial"/>
          <w:sz w:val="18"/>
          <w:szCs w:val="18"/>
          <w:color w:val="auto"/>
        </w:rPr>
        <w:t>1200, Boston, MA 02116.</w:t>
      </w:r>
    </w:p>
    <w:p>
      <w:pPr>
        <w:spacing w:after="0" w:line="161"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Citizenship: </w:t>
      </w:r>
      <w:r>
        <w:rPr>
          <w:rFonts w:ascii="Arial" w:cs="Arial" w:eastAsia="Arial" w:hAnsi="Arial"/>
          <w:sz w:val="16"/>
          <w:szCs w:val="16"/>
          <w:color w:val="auto"/>
        </w:rPr>
        <w:t>Capital is a Massachusetts limited liability company. The Fund is a Delaware limited partnership. Mr. Kolchinsky is a United States citizen.</w:t>
      </w:r>
    </w:p>
    <w:p>
      <w:pPr>
        <w:spacing w:after="0" w:line="248" w:lineRule="exact"/>
        <w:rPr>
          <w:rFonts w:ascii="Arial" w:cs="Arial" w:eastAsia="Arial" w:hAnsi="Arial"/>
          <w:sz w:val="16"/>
          <w:szCs w:val="16"/>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Title and Class of Securities: </w:t>
      </w:r>
      <w:r>
        <w:rPr>
          <w:rFonts w:ascii="Arial" w:cs="Arial" w:eastAsia="Arial" w:hAnsi="Arial"/>
          <w:sz w:val="18"/>
          <w:szCs w:val="18"/>
          <w:color w:val="auto"/>
        </w:rPr>
        <w:t>Ordinary Shares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CUSIP Number: </w:t>
      </w:r>
      <w:r>
        <w:rPr>
          <w:rFonts w:ascii="Arial" w:cs="Arial" w:eastAsia="Arial" w:hAnsi="Arial"/>
          <w:sz w:val="18"/>
          <w:szCs w:val="18"/>
          <w:color w:val="auto"/>
        </w:rPr>
        <w:t>M2239P109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RA Capital Management, LLC – 3,032,911 shares</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Peter Kolchinsky – 3,032,911 shares</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RA Capital Healthcare Fund, L.P. – 2,514,921 shares</w:t>
      </w:r>
    </w:p>
    <w:p>
      <w:pPr>
        <w:spacing w:after="0" w:line="211"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RA Capital Management, LLC – 11.1%</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Peter Kolchinsky – 11.1%</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RA Capital Healthcare Fund, L.P. –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M2239P109</w:t>
      </w:r>
    </w:p>
    <w:p>
      <w:pPr>
        <w:spacing w:after="0" w:line="200" w:lineRule="exact"/>
        <w:rPr>
          <w:sz w:val="20"/>
          <w:szCs w:val="20"/>
          <w:color w:val="auto"/>
        </w:rPr>
      </w:pPr>
    </w:p>
    <w:p>
      <w:pPr>
        <w:spacing w:after="0" w:line="245"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sz w:val="20"/>
          <w:szCs w:val="20"/>
          <w:color w:val="auto"/>
        </w:rPr>
      </w:pPr>
    </w:p>
    <w:p>
      <w:pPr>
        <w:ind w:left="1160" w:hanging="571"/>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 power to vote or to direct the vote **</w:t>
      </w:r>
    </w:p>
    <w:p>
      <w:pPr>
        <w:spacing w:after="0" w:line="22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RA Capital Management, LLC - 0 shares</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Peter Kolchinsky - 0 shares</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RA Capital Healthcare Fund, L.P. - 0 shares</w:t>
      </w:r>
    </w:p>
    <w:p>
      <w:pPr>
        <w:spacing w:after="0" w:line="211" w:lineRule="exact"/>
        <w:rPr>
          <w:sz w:val="20"/>
          <w:szCs w:val="20"/>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RA Capital Management, LLC – 3,032,911 shares</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Peter Kolchinsky – 3,032,911 shares</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RA Capital Healthcare Fund, L.P. – 2,514,921 shares</w:t>
      </w:r>
    </w:p>
    <w:p>
      <w:pPr>
        <w:spacing w:after="0" w:line="211" w:lineRule="exact"/>
        <w:rPr>
          <w:sz w:val="20"/>
          <w:szCs w:val="20"/>
          <w:color w:val="auto"/>
        </w:rPr>
      </w:pPr>
    </w:p>
    <w:p>
      <w:pPr>
        <w:ind w:left="1160" w:hanging="571"/>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RA Capital Management, LLC - 0 shares</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Peter Kolchinsky - 0 shares</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RA Capital Healthcare Fund, L.P. - 0 shares</w:t>
      </w:r>
    </w:p>
    <w:p>
      <w:pPr>
        <w:spacing w:after="0" w:line="211" w:lineRule="exact"/>
        <w:rPr>
          <w:sz w:val="20"/>
          <w:szCs w:val="20"/>
          <w:color w:val="auto"/>
        </w:rPr>
      </w:pPr>
    </w:p>
    <w:p>
      <w:pPr>
        <w:ind w:left="1160" w:hanging="571"/>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RA Capital Management, LLC – 3,032,911 shares</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Peter Kolchinsky – 3,032,911 shares</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RA Capital Healthcare Fund, L.P. – 2,514,921 shares</w:t>
      </w:r>
    </w:p>
    <w:p>
      <w:pPr>
        <w:spacing w:after="0" w:line="21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**Capital is the general partner of the Fund and serves as its investment adviser . Capital also serves as investment adviser for a separately managed account (the “Account”). As the investment adviser for the Fund and the Account, Capital may be deemed a beneficial owner, for purposes of Section 13(d) of the Securities Exchange Act of 1934 (the “Act”), of any securities of the Issuer owned by the Fund or the Account. Mr. Kolchinsky is the manager of Capital and therefore may be deemed a beneficial owner, for purposes of Section 13(d) of the Act, of any securities of the Issuer beneficially owned by Capital. Capital is a registered investment adviser within the meaning of Rule 13d-1(b)(1)(ii)(E), and Mr. Kolchinsky is a control person of Capital within the meaning of Rule 13d-1(b)(1)(ii)(G). Capital and Mr. Kolchinsky disclaim beneficial ownership of the securities reported above other than for the purpose of determining their obligations under Section 13(d) of the Act, and the filing of this Amendment shall not be deemed an admission that either Capital or Mr. Kolchinsky is the beneficial owner of such securities for any other purpose. Shares reported herein for the Fund represent Ordinary Shares held of record by the Fund. Shares reported herein for Capital represent (a) the Ordinary Shares reported for the Fund and (b) Ordinary Shares held in the Account.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M2239P109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 or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signing below I hereby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p>
    <w:p>
      <w:pPr>
        <w:spacing w:after="0" w:line="225" w:lineRule="exact"/>
        <w:rPr>
          <w:sz w:val="20"/>
          <w:szCs w:val="20"/>
          <w:color w:val="auto"/>
        </w:rPr>
      </w:pPr>
    </w:p>
    <w:p>
      <w:pPr>
        <w:ind w:left="580" w:right="640" w:hanging="572"/>
        <w:spacing w:after="0" w:line="277"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Joint Filing Agreement by and among the Reporting Persons is incorporated herein by reference to Exhibit 1 to the Schedule 13G filed by the Reporting Persons with the Securities and Exchange Commission on July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DATE: November 18, 2015</w:t>
      </w:r>
    </w:p>
    <w:p>
      <w:pPr>
        <w:spacing w:after="0" w:line="200" w:lineRule="exact"/>
        <w:rPr>
          <w:sz w:val="20"/>
          <w:szCs w:val="20"/>
          <w:color w:val="auto"/>
        </w:rPr>
      </w:pPr>
    </w:p>
    <w:p>
      <w:pPr>
        <w:spacing w:after="0" w:line="241"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RA CAPITAL MANAGEMENT, LLC</w:t>
      </w:r>
    </w:p>
    <w:p>
      <w:pPr>
        <w:spacing w:after="0" w:line="22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By: /s/ Rajeev Shah</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Rajeev Shah</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7"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/s/ Peter Kolchinsky</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RA CAPITAL HEALTHCARE FUND, L.P.</w:t>
      </w:r>
    </w:p>
    <w:p>
      <w:pPr>
        <w:spacing w:after="0" w:line="22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By: RA Capital Management, LLC</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By: /s/ Rajeev Shah</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Rajeev Shah</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2"/>
    </w:lvl>
    <w:lvl w:ilvl="1">
      <w:lvlJc w:val="left"/>
      <w:lvlText w:val="(%2)"/>
      <w:numFmt w:val="lowerLetter"/>
      <w:start w:val="1"/>
    </w:lvl>
  </w:abstractNum>
  <w:abstractNum w:abstractNumId="3">
    <w:nsid w:val="109CF92E"/>
    <w:multiLevelType w:val="hybridMultilevel"/>
    <w:lvl w:ilvl="0">
      <w:lvlJc w:val="left"/>
      <w:lvlText w:val="%1."/>
      <w:numFmt w:val="decimal"/>
      <w:start w:val="9"/>
    </w:lvl>
  </w:abstractNum>
  <w:abstractNum w:abstractNumId="4">
    <w:nsid w:val="DED7263"/>
    <w:multiLevelType w:val="hybridMultilevel"/>
    <w:lvl w:ilvl="0">
      <w:lvlJc w:val="left"/>
      <w:lvlText w:val="%1."/>
      <w:numFmt w:val="decimal"/>
      <w:start w:val="1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2"/>
    </w:lvl>
    <w:lvl w:ilvl="1">
      <w:lvlJc w:val="left"/>
      <w:lvlText w:val="(%2)"/>
      <w:numFmt w:val="lowerLetter"/>
      <w:start w:val="1"/>
    </w:lvl>
  </w:abstractNum>
  <w:abstractNum w:abstractNumId="7">
    <w:nsid w:val="41A7C4C9"/>
    <w:multiLevelType w:val="hybridMultilevel"/>
    <w:lvl w:ilvl="0">
      <w:lvlJc w:val="left"/>
      <w:lvlText w:val="%1."/>
      <w:numFmt w:val="decimal"/>
      <w:start w:val="9"/>
    </w:lvl>
  </w:abstractNum>
  <w:abstractNum w:abstractNumId="8">
    <w:nsid w:val="6B68079A"/>
    <w:multiLevelType w:val="hybridMultilevel"/>
    <w:lvl w:ilvl="0">
      <w:lvlJc w:val="left"/>
      <w:lvlText w:val="%1."/>
      <w:numFmt w:val="decimal"/>
      <w:start w:val="1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2"/>
    </w:lvl>
    <w:lvl w:ilvl="1">
      <w:lvlJc w:val="left"/>
      <w:lvlText w:val="(%2)"/>
      <w:numFmt w:val="lowerLetter"/>
      <w:start w:val="1"/>
    </w:lvl>
  </w:abstractNum>
  <w:abstractNum w:abstractNumId="11">
    <w:nsid w:val="519B500D"/>
    <w:multiLevelType w:val="hybridMultilevel"/>
    <w:lvl w:ilvl="0">
      <w:lvlJc w:val="left"/>
      <w:lvlText w:val="%1."/>
      <w:numFmt w:val="decimal"/>
      <w:start w:val="9"/>
    </w:lvl>
  </w:abstractNum>
  <w:abstractNum w:abstractNumId="12">
    <w:nsid w:val="431BD7B7"/>
    <w:multiLevelType w:val="hybridMultilevel"/>
    <w:lvl w:ilvl="0">
      <w:lvlJc w:val="left"/>
      <w:lvlText w:val="%1."/>
      <w:numFmt w:val="decimal"/>
      <w:start w:val="11"/>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lowerLetter"/>
      <w:start w:val="2"/>
    </w:lvl>
  </w:abstractNum>
  <w:abstractNum w:abstractNumId="17">
    <w:nsid w:val="436C6125"/>
    <w:multiLevelType w:val="hybridMultilevel"/>
    <w:lvl w:ilvl="0">
      <w:lvlJc w:val="left"/>
      <w:lvlText w:val="(%1)"/>
      <w:numFmt w:val="lowerLetter"/>
      <w:start w:val="3"/>
    </w:lvl>
  </w:abstractNum>
  <w:abstractNum w:abstractNumId="18">
    <w:nsid w:val="628C895D"/>
    <w:multiLevelType w:val="hybridMultilevel"/>
    <w:lvl w:ilvl="0">
      <w:lvlJc w:val="left"/>
      <w:lvlText w:val="(%1)"/>
      <w:numFmt w:val="lowerRoman"/>
      <w:start w:val="1"/>
    </w:lvl>
  </w:abstractNum>
  <w:abstractNum w:abstractNumId="19">
    <w:nsid w:val="333AB105"/>
    <w:multiLevelType w:val="hybridMultilevel"/>
    <w:lvl w:ilvl="0">
      <w:lvlJc w:val="left"/>
      <w:lvlText w:val="(%1)"/>
      <w:numFmt w:val="lowerRoman"/>
      <w:start w:val="2"/>
    </w:lvl>
  </w:abstractNum>
  <w:abstractNum w:abstractNumId="20">
    <w:nsid w:val="721DA317"/>
    <w:multiLevelType w:val="hybridMultilevel"/>
    <w:lvl w:ilvl="0">
      <w:lvlJc w:val="left"/>
      <w:lvlText w:val="(%1)"/>
      <w:numFmt w:val="lowerRoman"/>
      <w:start w:val="3"/>
    </w:lvl>
  </w:abstractNum>
  <w:abstractNum w:abstractNumId="21">
    <w:nsid w:val="2443A858"/>
    <w:multiLevelType w:val="hybridMultilevel"/>
    <w:lvl w:ilvl="0">
      <w:lvlJc w:val="left"/>
      <w:lvlText w:val="(%1)"/>
      <w:numFmt w:val="lowerRoman"/>
      <w:start w:val="4"/>
    </w:lvl>
  </w:abstractNum>
  <w:abstractNum w:abstractNumId="22">
    <w:nsid w:val="2D1D5AE9"/>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2019-12-09T02:22:15Z</dcterms:created>
  <dcterms:modified xsi:type="dcterms:W3CDTF">2019-12-09T02:22:15Z</dcterms:modified>
</cp:coreProperties>
</file>