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SASSINE ANDY</w:t>
        </w:r>
      </w:hyperlink>
    </w:p>
    <w:p>
      <w:pPr>
        <w:spacing w:after="0" w:line="29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ARCT</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ectPr>
          <w:pgSz w:w="11900" w:h="16838" w:orient="portrait"/>
          <w:cols w:equalWidth="0" w:num="3">
            <w:col w:w="3360" w:space="720"/>
            <w:col w:w="3800" w:space="1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9"/>
              </w:rPr>
              <w:t>C/O ARCTURUS THERAPEUTICS HOLDINGS</w:t>
            </w:r>
          </w:p>
        </w:tc>
        <w:tc>
          <w:tcPr>
            <w:tcW w:w="80" w:type="dxa"/>
            <w:vAlign w:val="bottom"/>
          </w:tcPr>
          <w:p>
            <w:pPr>
              <w:spacing w:after="0"/>
              <w:rPr>
                <w:sz w:val="17"/>
                <w:szCs w:val="17"/>
                <w:color w:val="auto"/>
              </w:rPr>
            </w:pPr>
          </w:p>
        </w:tc>
        <w:tc>
          <w:tcPr>
            <w:tcW w:w="3080" w:type="dxa"/>
            <w:vAlign w:val="bottom"/>
            <w:tcBorders>
              <w:top w:val="single" w:sz="8" w:color="2C2C2C"/>
            </w:tcBorders>
            <w:gridSpan w:val="6"/>
          </w:tcPr>
          <w:p>
            <w:pPr>
              <w:ind w:left="80"/>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2"/>
          </w:tcPr>
          <w:p>
            <w:pPr>
              <w:spacing w:after="0" w:line="201" w:lineRule="exact"/>
              <w:rPr>
                <w:sz w:val="20"/>
                <w:szCs w:val="20"/>
                <w:color w:val="auto"/>
              </w:rPr>
            </w:pPr>
            <w:r>
              <w:rPr>
                <w:rFonts w:ascii="Arial" w:cs="Arial" w:eastAsia="Arial" w:hAnsi="Arial"/>
                <w:sz w:val="18"/>
                <w:szCs w:val="18"/>
                <w:color w:val="0000FF"/>
                <w:w w:val="97"/>
              </w:rPr>
              <w:t>Chief Financial Officer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gridSpan w:val="6"/>
            <w:vMerge w:val="continue"/>
          </w:tcPr>
          <w:p>
            <w:pPr>
              <w:spacing w:after="0"/>
              <w:rPr>
                <w:sz w:val="7"/>
                <w:szCs w:val="7"/>
                <w:color w:val="auto"/>
              </w:rPr>
            </w:pPr>
          </w:p>
        </w:tc>
        <w:tc>
          <w:tcPr>
            <w:tcW w:w="16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12/05/2019</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10628 SCIENCE CENTER DRIVE, SUITE 250</w:t>
            </w:r>
          </w:p>
        </w:tc>
        <w:tc>
          <w:tcPr>
            <w:tcW w:w="80" w:type="dxa"/>
            <w:vAlign w:val="bottom"/>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gridSpan w:val="7"/>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6"/>
                <w:szCs w:val="6"/>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180" w:type="dxa"/>
            <w:vAlign w:val="bottom"/>
          </w:tcPr>
          <w:p>
            <w:pPr>
              <w:spacing w:after="0"/>
              <w:rPr>
                <w:sz w:val="10"/>
                <w:szCs w:val="10"/>
                <w:color w:val="auto"/>
              </w:rPr>
            </w:pPr>
          </w:p>
        </w:tc>
        <w:tc>
          <w:tcPr>
            <w:tcW w:w="34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6"/>
                <w:szCs w:val="16"/>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92121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gridSpan w:val="6"/>
          </w:tcPr>
          <w:p>
            <w:pPr>
              <w:ind w:left="8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ind w:left="16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12/05/2019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5,649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9.73</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268,245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6"/>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3"/>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an average price. These shares were acquired in multiple transactions at prices ranging from $9.70 to $9.75 per share. The Reporting Person undertakes to provide to the Issuer, any security holder of the Issuer, or the staff of the Securities and Exchange Commission, upon request, full information regarding the number of shares purchased at each separate price on the Transaction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Jeffrey Baumel, attorney-in- </w:t>
      </w:r>
      <w:r>
        <w:rPr>
          <w:rFonts w:ascii="Arial" w:cs="Arial" w:eastAsia="Arial" w:hAnsi="Arial"/>
          <w:sz w:val="35"/>
          <w:szCs w:val="35"/>
          <w:color w:val="0000FF"/>
          <w:vertAlign w:val="subscript"/>
        </w:rPr>
        <w:t>12/09/2019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532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2019-12-09T20:47:11Z</dcterms:created>
  <dcterms:modified xsi:type="dcterms:W3CDTF">2019-12-09T20:47:11Z</dcterms:modified>
</cp:coreProperties>
</file>