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VALLON PHARMACEUTICALS,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92023M101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335"/>
        <w:spacing w:after="0"/>
        <w:tabs>
          <w:tab w:leader="none" w:pos="6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340" w:right="9500" w:firstLine="5"/>
        <w:spacing w:after="0" w:line="216" w:lineRule="exact"/>
        <w:tabs>
          <w:tab w:leader="none" w:pos="678"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 w:lineRule="exact"/>
        <w:rPr>
          <w:rFonts w:ascii="MS PGothic" w:cs="MS PGothic" w:eastAsia="MS PGothic" w:hAnsi="MS PGothic"/>
          <w:sz w:val="16"/>
          <w:szCs w:val="16"/>
          <w:color w:val="auto"/>
        </w:rPr>
      </w:pPr>
    </w:p>
    <w:p>
      <w:pPr>
        <w:ind w:left="340" w:right="40" w:hanging="337"/>
        <w:spacing w:after="0" w:line="258"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72"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92023M101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5374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374640"/>
                    </a:xfrm>
                    <a:prstGeom prst="rect">
                      <a:avLst/>
                    </a:prstGeom>
                    <a:noFill/>
                  </pic:spPr>
                </pic:pic>
              </a:graphicData>
            </a:graphic>
          </wp:anchor>
        </w:drawing>
      </w:r>
    </w:p>
    <w:p>
      <w:pPr>
        <w:spacing w:after="0" w:line="286" w:lineRule="exact"/>
        <w:rPr>
          <w:sz w:val="20"/>
          <w:szCs w:val="20"/>
          <w:color w:val="auto"/>
        </w:rPr>
      </w:pPr>
    </w:p>
    <w:p>
      <w:pPr>
        <w:ind w:left="1200" w:hanging="659"/>
        <w:spacing w:after="0"/>
        <w:tabs>
          <w:tab w:leader="none" w:pos="1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1200" w:right="582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Arcturus Therapeutics Holdings Inc.</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2240" w:type="dxa"/>
            <w:vAlign w:val="bottom"/>
          </w:tcPr>
          <w:p>
            <w:pPr>
              <w:ind w:left="15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6"/>
        </w:trPr>
        <w:tc>
          <w:tcPr>
            <w:tcW w:w="1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15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0"/>
        </w:trPr>
        <w:tc>
          <w:tcPr>
            <w:tcW w:w="112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140" w:type="dxa"/>
            <w:vAlign w:val="bottom"/>
          </w:tcPr>
          <w:p>
            <w:pPr>
              <w:ind w:left="40"/>
              <w:spacing w:after="0"/>
              <w:rPr>
                <w:sz w:val="20"/>
                <w:szCs w:val="20"/>
                <w:color w:val="auto"/>
              </w:rPr>
            </w:pPr>
            <w:r>
              <w:rPr>
                <w:rFonts w:ascii="Arial" w:cs="Arial" w:eastAsia="Arial" w:hAnsi="Arial"/>
                <w:sz w:val="18"/>
                <w:szCs w:val="18"/>
                <w:color w:val="auto"/>
                <w:w w:val="91"/>
              </w:rPr>
              <w:t>SEC Use Only</w:t>
            </w:r>
          </w:p>
        </w:tc>
        <w:tc>
          <w:tcPr>
            <w:tcW w:w="6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20" w:type="dxa"/>
            <w:vAlign w:val="bottom"/>
            <w:tcBorders>
              <w:bottom w:val="single" w:sz="8" w:color="auto"/>
            </w:tcBorders>
          </w:tcPr>
          <w:p>
            <w:pPr>
              <w:spacing w:after="0"/>
              <w:rPr>
                <w:sz w:val="24"/>
                <w:szCs w:val="24"/>
                <w:color w:val="auto"/>
              </w:rPr>
            </w:pPr>
          </w:p>
        </w:tc>
        <w:tc>
          <w:tcPr>
            <w:tcW w:w="7800" w:type="dxa"/>
            <w:vAlign w:val="bottom"/>
            <w:tcBorders>
              <w:bottom w:val="single" w:sz="8" w:color="auto"/>
            </w:tcBorders>
            <w:gridSpan w:val="2"/>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98"/>
              </w:rPr>
              <w:t>United States</w:t>
            </w:r>
          </w:p>
        </w:tc>
        <w:tc>
          <w:tcPr>
            <w:tcW w:w="6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14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5.</w:t>
            </w:r>
          </w:p>
        </w:tc>
        <w:tc>
          <w:tcPr>
            <w:tcW w:w="666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140" w:type="dxa"/>
            <w:vAlign w:val="bottom"/>
            <w:tcBorders>
              <w:right w:val="single" w:sz="8" w:color="auto"/>
            </w:tcBorders>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843,750</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4"/>
              </w:rPr>
              <w:t>Shares</w:t>
            </w:r>
          </w:p>
        </w:tc>
        <w:tc>
          <w:tcPr>
            <w:tcW w:w="1140" w:type="dxa"/>
            <w:vAlign w:val="bottom"/>
            <w:tcBorders>
              <w:bottom w:val="single" w:sz="8" w:color="auto"/>
              <w:right w:val="single" w:sz="8" w:color="auto"/>
            </w:tcBorders>
          </w:tcPr>
          <w:p>
            <w:pPr>
              <w:spacing w:after="0"/>
              <w:rPr>
                <w:sz w:val="3"/>
                <w:szCs w:val="3"/>
                <w:color w:val="auto"/>
              </w:rPr>
            </w:pPr>
          </w:p>
        </w:tc>
        <w:tc>
          <w:tcPr>
            <w:tcW w:w="66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120" w:type="dxa"/>
            <w:vAlign w:val="bottom"/>
            <w:vMerge w:val="continue"/>
          </w:tcPr>
          <w:p>
            <w:pPr>
              <w:spacing w:after="0"/>
              <w:rPr>
                <w:sz w:val="13"/>
                <w:szCs w:val="13"/>
                <w:color w:val="auto"/>
              </w:rPr>
            </w:pPr>
          </w:p>
        </w:tc>
        <w:tc>
          <w:tcPr>
            <w:tcW w:w="114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6.</w:t>
            </w:r>
          </w:p>
        </w:tc>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1140" w:type="dxa"/>
            <w:vAlign w:val="bottom"/>
            <w:tcBorders>
              <w:right w:val="single" w:sz="8" w:color="auto"/>
            </w:tcBorders>
            <w:vMerge w:val="continue"/>
          </w:tcPr>
          <w:p>
            <w:pPr>
              <w:spacing w:after="0"/>
              <w:rPr>
                <w:sz w:val="7"/>
                <w:szCs w:val="7"/>
                <w:color w:val="auto"/>
              </w:rPr>
            </w:pPr>
          </w:p>
        </w:tc>
        <w:tc>
          <w:tcPr>
            <w:tcW w:w="666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120" w:type="dxa"/>
            <w:vAlign w:val="bottom"/>
            <w:vMerge w:val="continue"/>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666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1140" w:type="dxa"/>
            <w:vAlign w:val="bottom"/>
            <w:tcBorders>
              <w:right w:val="single" w:sz="8" w:color="auto"/>
            </w:tcBorders>
          </w:tcPr>
          <w:p>
            <w:pPr>
              <w:spacing w:after="0"/>
              <w:rPr>
                <w:sz w:val="18"/>
                <w:szCs w:val="18"/>
                <w:color w:val="auto"/>
              </w:rPr>
            </w:pPr>
          </w:p>
        </w:tc>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7"/>
              </w:rPr>
              <w:t>Each</w:t>
            </w:r>
          </w:p>
        </w:tc>
        <w:tc>
          <w:tcPr>
            <w:tcW w:w="1140" w:type="dxa"/>
            <w:vAlign w:val="bottom"/>
            <w:tcBorders>
              <w:right w:val="single" w:sz="8" w:color="auto"/>
            </w:tcBorders>
          </w:tcPr>
          <w:p>
            <w:pPr>
              <w:spacing w:after="0"/>
              <w:rPr>
                <w:sz w:val="7"/>
                <w:szCs w:val="7"/>
                <w:color w:val="auto"/>
              </w:rPr>
            </w:pPr>
          </w:p>
        </w:tc>
        <w:tc>
          <w:tcPr>
            <w:tcW w:w="6660" w:type="dxa"/>
            <w:vAlign w:val="bottom"/>
            <w:vMerge w:val="continue"/>
          </w:tcPr>
          <w:p>
            <w:pPr>
              <w:spacing w:after="0"/>
              <w:rPr>
                <w:sz w:val="7"/>
                <w:szCs w:val="7"/>
                <w:color w:val="auto"/>
              </w:rPr>
            </w:pP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120" w:type="dxa"/>
            <w:vAlign w:val="bottom"/>
            <w:vMerge w:val="continue"/>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1120" w:type="dxa"/>
            <w:vAlign w:val="bottom"/>
            <w:vMerge w:val="continue"/>
          </w:tcPr>
          <w:p>
            <w:pPr>
              <w:spacing w:after="0"/>
              <w:rPr>
                <w:sz w:val="7"/>
                <w:szCs w:val="7"/>
                <w:color w:val="auto"/>
              </w:rPr>
            </w:pPr>
          </w:p>
        </w:tc>
        <w:tc>
          <w:tcPr>
            <w:tcW w:w="1140" w:type="dxa"/>
            <w:vAlign w:val="bottom"/>
            <w:tcBorders>
              <w:right w:val="single" w:sz="8" w:color="auto"/>
            </w:tcBorders>
            <w:vMerge w:val="restart"/>
          </w:tcPr>
          <w:p>
            <w:pPr>
              <w:ind w:left="500"/>
              <w:spacing w:after="0"/>
              <w:rPr>
                <w:sz w:val="20"/>
                <w:szCs w:val="20"/>
                <w:color w:val="auto"/>
              </w:rPr>
            </w:pPr>
            <w:r>
              <w:rPr>
                <w:rFonts w:ascii="Arial" w:cs="Arial" w:eastAsia="Arial" w:hAnsi="Arial"/>
                <w:sz w:val="18"/>
                <w:szCs w:val="18"/>
                <w:color w:val="auto"/>
              </w:rPr>
              <w:t>7.</w:t>
            </w:r>
          </w:p>
        </w:tc>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2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1140" w:type="dxa"/>
            <w:vAlign w:val="bottom"/>
            <w:tcBorders>
              <w:right w:val="single" w:sz="8" w:color="auto"/>
            </w:tcBorders>
            <w:vMerge w:val="continue"/>
          </w:tcPr>
          <w:p>
            <w:pPr>
              <w:spacing w:after="0"/>
              <w:rPr>
                <w:sz w:val="12"/>
                <w:szCs w:val="12"/>
                <w:color w:val="auto"/>
              </w:rPr>
            </w:pPr>
          </w:p>
        </w:tc>
        <w:tc>
          <w:tcPr>
            <w:tcW w:w="666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120" w:type="dxa"/>
            <w:vAlign w:val="bottom"/>
            <w:vMerge w:val="continue"/>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66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Person</w:t>
            </w:r>
          </w:p>
        </w:tc>
        <w:tc>
          <w:tcPr>
            <w:tcW w:w="1140" w:type="dxa"/>
            <w:vAlign w:val="bottom"/>
            <w:tcBorders>
              <w:right w:val="single" w:sz="8" w:color="auto"/>
            </w:tcBorders>
          </w:tcPr>
          <w:p>
            <w:pPr>
              <w:spacing w:after="0"/>
              <w:rPr>
                <w:sz w:val="18"/>
                <w:szCs w:val="18"/>
                <w:color w:val="auto"/>
              </w:rPr>
            </w:pPr>
          </w:p>
        </w:tc>
        <w:tc>
          <w:tcPr>
            <w:tcW w:w="6660" w:type="dxa"/>
            <w:vAlign w:val="bottom"/>
            <w:vMerge w:val="restart"/>
          </w:tcPr>
          <w:p>
            <w:pPr>
              <w:ind w:left="20"/>
              <w:spacing w:after="0"/>
              <w:rPr>
                <w:sz w:val="20"/>
                <w:szCs w:val="20"/>
                <w:color w:val="auto"/>
              </w:rPr>
            </w:pPr>
            <w:r>
              <w:rPr>
                <w:rFonts w:ascii="Arial" w:cs="Arial" w:eastAsia="Arial" w:hAnsi="Arial"/>
                <w:sz w:val="18"/>
                <w:szCs w:val="18"/>
                <w:color w:val="auto"/>
              </w:rPr>
              <w:t>843,750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4"/>
              </w:rPr>
              <w:t>With</w:t>
            </w:r>
          </w:p>
        </w:tc>
        <w:tc>
          <w:tcPr>
            <w:tcW w:w="1140" w:type="dxa"/>
            <w:vAlign w:val="bottom"/>
            <w:tcBorders>
              <w:right w:val="single" w:sz="8" w:color="auto"/>
            </w:tcBorders>
          </w:tcPr>
          <w:p>
            <w:pPr>
              <w:spacing w:after="0"/>
              <w:rPr>
                <w:sz w:val="12"/>
                <w:szCs w:val="12"/>
                <w:color w:val="auto"/>
              </w:rPr>
            </w:pPr>
          </w:p>
        </w:tc>
        <w:tc>
          <w:tcPr>
            <w:tcW w:w="666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120" w:type="dxa"/>
            <w:vAlign w:val="bottom"/>
            <w:vMerge w:val="continue"/>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spacing w:after="0"/>
              <w:rPr>
                <w:sz w:val="20"/>
                <w:szCs w:val="20"/>
                <w:color w:val="auto"/>
              </w:rPr>
            </w:pPr>
          </w:p>
        </w:tc>
        <w:tc>
          <w:tcPr>
            <w:tcW w:w="114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8.</w:t>
            </w:r>
          </w:p>
        </w:tc>
        <w:tc>
          <w:tcPr>
            <w:tcW w:w="66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0</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843,750</w:t>
            </w:r>
          </w:p>
        </w:tc>
        <w:tc>
          <w:tcPr>
            <w:tcW w:w="6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22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1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666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2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0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12.38%</w:t>
            </w:r>
          </w:p>
        </w:tc>
        <w:tc>
          <w:tcPr>
            <w:tcW w:w="6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200" w:hanging="704"/>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0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See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ind w:left="1260" w:hanging="456"/>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1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Vallon Pharmaceuticals, Inc.</w:t>
      </w:r>
    </w:p>
    <w:p>
      <w:pPr>
        <w:spacing w:after="0" w:line="225" w:lineRule="exact"/>
        <w:rPr>
          <w:rFonts w:ascii="Arial" w:cs="Arial" w:eastAsia="Arial" w:hAnsi="Arial"/>
          <w:sz w:val="18"/>
          <w:szCs w:val="18"/>
          <w:color w:val="auto"/>
        </w:rPr>
      </w:pPr>
    </w:p>
    <w:p>
      <w:pPr>
        <w:ind w:left="1260" w:hanging="456"/>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260" w:right="7860"/>
        <w:spacing w:after="0" w:line="291" w:lineRule="auto"/>
        <w:rPr>
          <w:rFonts w:ascii="Arial" w:cs="Arial" w:eastAsia="Arial" w:hAnsi="Arial"/>
          <w:sz w:val="18"/>
          <w:szCs w:val="18"/>
          <w:color w:val="auto"/>
        </w:rPr>
      </w:pPr>
      <w:r>
        <w:rPr>
          <w:rFonts w:ascii="Arial" w:cs="Arial" w:eastAsia="Arial" w:hAnsi="Arial"/>
          <w:sz w:val="16"/>
          <w:szCs w:val="16"/>
          <w:color w:val="auto"/>
        </w:rPr>
        <w:t>100 N.18th Street, Suite 300 Philadelphia, PA 19103</w:t>
      </w:r>
    </w:p>
    <w:p>
      <w:pPr>
        <w:spacing w:after="0"/>
        <w:rPr>
          <w:sz w:val="20"/>
          <w:szCs w:val="20"/>
          <w:color w:val="auto"/>
        </w:rPr>
      </w:pPr>
      <w:r>
        <w:rPr>
          <w:rFonts w:ascii="Arial" w:cs="Arial" w:eastAsia="Arial" w:hAnsi="Arial"/>
          <w:sz w:val="18"/>
          <w:szCs w:val="18"/>
          <w:b w:val="1"/>
          <w:bCs w:val="1"/>
          <w:color w:val="auto"/>
        </w:rPr>
        <w:t>Item 2.</w:t>
      </w:r>
    </w:p>
    <w:p>
      <w:pPr>
        <w:spacing w:after="0" w:line="9" w:lineRule="exact"/>
        <w:rPr>
          <w:sz w:val="20"/>
          <w:szCs w:val="20"/>
          <w:color w:val="auto"/>
        </w:rPr>
      </w:pPr>
    </w:p>
    <w:p>
      <w:pPr>
        <w:ind w:left="1260" w:hanging="456"/>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Person(s) Filing</w:t>
      </w:r>
    </w:p>
    <w:p>
      <w:pPr>
        <w:spacing w:after="0" w:line="210"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Arcturus Therapeutics Holdings Inc. (“Arcturus”)</w:t>
      </w:r>
    </w:p>
    <w:p>
      <w:pPr>
        <w:spacing w:after="0" w:line="225" w:lineRule="exact"/>
        <w:rPr>
          <w:rFonts w:ascii="Arial" w:cs="Arial" w:eastAsia="Arial" w:hAnsi="Arial"/>
          <w:sz w:val="18"/>
          <w:szCs w:val="18"/>
          <w:color w:val="auto"/>
        </w:rPr>
      </w:pPr>
    </w:p>
    <w:p>
      <w:pPr>
        <w:ind w:left="1260" w:hanging="456"/>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260" w:right="7100"/>
        <w:spacing w:after="0" w:line="277" w:lineRule="auto"/>
        <w:rPr>
          <w:rFonts w:ascii="Arial" w:cs="Arial" w:eastAsia="Arial" w:hAnsi="Arial"/>
          <w:sz w:val="18"/>
          <w:szCs w:val="18"/>
          <w:color w:val="auto"/>
        </w:rPr>
      </w:pPr>
      <w:r>
        <w:rPr>
          <w:rFonts w:ascii="Arial" w:cs="Arial" w:eastAsia="Arial" w:hAnsi="Arial"/>
          <w:sz w:val="18"/>
          <w:szCs w:val="18"/>
          <w:color w:val="auto"/>
        </w:rPr>
        <w:t>10628 Science Center Drive, Suite 250 San Diego, California 92121</w:t>
      </w:r>
    </w:p>
    <w:p>
      <w:pPr>
        <w:spacing w:after="0" w:line="170" w:lineRule="exact"/>
        <w:rPr>
          <w:rFonts w:ascii="Arial" w:cs="Arial" w:eastAsia="Arial" w:hAnsi="Arial"/>
          <w:sz w:val="18"/>
          <w:szCs w:val="18"/>
          <w:color w:val="auto"/>
        </w:rPr>
      </w:pPr>
    </w:p>
    <w:p>
      <w:pPr>
        <w:ind w:left="1260" w:right="8940" w:hanging="456"/>
        <w:spacing w:after="0" w:line="601" w:lineRule="auto"/>
        <w:tabs>
          <w:tab w:leader="none" w:pos="1260" w:val="left"/>
        </w:tabs>
        <w:numPr>
          <w:ilvl w:val="0"/>
          <w:numId w:val="5"/>
        </w:numPr>
        <w:rPr>
          <w:rFonts w:ascii="Arial" w:cs="Arial" w:eastAsia="Arial" w:hAnsi="Arial"/>
          <w:sz w:val="15"/>
          <w:szCs w:val="15"/>
          <w:color w:val="auto"/>
        </w:rPr>
      </w:pPr>
      <w:r>
        <w:rPr>
          <w:rFonts w:ascii="Arial" w:cs="Arial" w:eastAsia="Arial" w:hAnsi="Arial"/>
          <w:sz w:val="15"/>
          <w:szCs w:val="15"/>
          <w:color w:val="auto"/>
        </w:rPr>
        <w:t>Citizenship United States</w:t>
      </w:r>
    </w:p>
    <w:p>
      <w:pPr>
        <w:ind w:left="1260" w:hanging="456"/>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25"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Common Stock, par value $0.0001 per share</w:t>
      </w:r>
    </w:p>
    <w:p>
      <w:pPr>
        <w:spacing w:after="0" w:line="225" w:lineRule="exact"/>
        <w:rPr>
          <w:rFonts w:ascii="Arial" w:cs="Arial" w:eastAsia="Arial" w:hAnsi="Arial"/>
          <w:sz w:val="18"/>
          <w:szCs w:val="18"/>
          <w:color w:val="auto"/>
        </w:rPr>
      </w:pPr>
    </w:p>
    <w:p>
      <w:pPr>
        <w:ind w:left="1260" w:right="8760" w:hanging="456"/>
        <w:spacing w:after="0" w:line="560" w:lineRule="auto"/>
        <w:tabs>
          <w:tab w:leader="none" w:pos="1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CUSIP Number 92023M101</w:t>
      </w:r>
    </w:p>
    <w:p>
      <w:pPr>
        <w:spacing w:after="0" w:line="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 - (c) and set forth in Rows 5 through 11 of the cover page is incorporated herein by reference.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0" w:hanging="795"/>
        <w:spacing w:after="0" w:line="282" w:lineRule="auto"/>
        <w:tabs>
          <w:tab w:leader="none" w:pos="7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37" w:right="4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lvl w:ilvl="1">
      <w:lvlJc w:val="left"/>
      <w:lvlText w:val="%2."/>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2022-02-15T05:51:00Z</dcterms:created>
  <dcterms:modified xsi:type="dcterms:W3CDTF">2022-02-15T05:51:00Z</dcterms:modified>
</cp:coreProperties>
</file>