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JAPAN</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1,926,084.00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1,926,084.00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1,926,084.00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FI</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Nikko Asset Management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1,926,084.00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1,926,084.00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1,926,084.00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HC, 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Sumitomo Mitsui Trust Group, Inc. Nikko Asset Management 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6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Sumitomo Mitsui Trust Group, Inc.:1-4-1 Marunouchi, Chiyoda-ku, Tokyo 100-8233, Japan Nikko Asset Management Co., Ltd.: Midtown Tower, 9-7-1 Akasaka, Minato-ku, Tokyo 107-6242, Japan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2300"/>
        <w:spacing w:after="0" w:line="256" w:lineRule="auto"/>
        <w:rPr>
          <w:sz w:val="20"/>
          <w:szCs w:val="20"/>
          <w:color w:val="auto"/>
        </w:rPr>
      </w:pPr>
      <w:r>
        <w:rPr>
          <w:rFonts w:ascii="Times New Roman" w:cs="Times New Roman" w:eastAsia="Times New Roman" w:hAnsi="Times New Roman"/>
          <w:sz w:val="22"/>
          <w:szCs w:val="22"/>
          <w:color w:val="auto"/>
        </w:rPr>
        <w:t>Sumitomo Mitsui Trust Group, Inc.: Japan Nikko Asset Management Co., Ltd.: Japan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45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Parent Holding Company</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1,926,084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1,926,084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1,926,084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Nikko Asset Management Co., Ltd.(which is classified as a parent holding company or control person in accordance with ss.240.13d-1(b)(1)(ii)(G) , as an investment adviser in accordance with ss.240.13d-1(b)(1)(ii)(E) and as a non-U.S. institution in accordance with ss.240.13d-1(b)(1)(ii)(J)) , as parent holding companies, are owned, or may be deemed to be beneficially owned, by their subsidiary Nikko Asset Management Americas, Inc. which is classified as an investment adviser in accordance with ss.240.13d-1(b)(1)(ii)(E).</w:t>
      </w:r>
    </w:p>
    <w:p>
      <w:pPr>
        <w:spacing w:after="0" w:line="1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Nikko Asset Management Co., Ltd.(which is classified as a parent holding company or control person in accordance with ss.240.13d-1(b)(1)(ii)(G) , as an investment adviser in accordance with ss.240.13d-1(b)(1)(ii)(E) and as a non-U.S. institution in accordance with ss.240.13d-1(b)(1)(ii)(J)) , as parent holding companies, are owned, or may be deemed to be beneficially owned, by their subsidiary Nikko Asset Management Americas, Inc. which is classified as an investment adviser in accordance with ss.240.13d-1(b)(1)(ii)(E).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securities being reported on by each of Sumitomo Mitsui Trust Group, Inc.(which is classified as a parent holding company or control person in accordance with ss. 240.13d-1(b)(1)(ii)(G) , as a non-U.S. institution in accordance with ss. 240.13d-1(b)(1)(ii)(J) and as Group, in accordance with ss. 240.13d-1(b)(1)(ii)(K)) and Nikko Asset Management Co., Ltd.(which is classified as a parent holding company or control person in accordance with ss.240.13d-1(b)(1)(ii)(G) , as an investment adviser in accordance with ss.240.13d-1(b)(1)(ii)(E) and as a non-U.S. institution in accordance with ss.240.13d-1(b)(1)(ii)(J)) , as parent holding companies, are owned, or may be deemed to be beneficially owned, by their subsidiary Nikko Asset Management Americas, Inc. which is classified as an investment adviser in accordance with ss.240.13d-1(b)(1)(ii)(E).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355" w:right="399" w:bottom="0" w:gutter="0" w:footer="0" w:header="0"/>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Sumitomo Mitsui Trust Group,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Hideaki Takamiya</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Head of Business Regulatory Compliance</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04/25/2025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Nikko Asset Management Co., Ltd.</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Atsushi Ohya</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Head of Business Regulatory Compliance</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04/25/2025</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2025-04-25T05:27:09Z</dcterms:created>
  <dcterms:modified xsi:type="dcterms:W3CDTF">2025-04-25T05:27:09Z</dcterms:modified>
</cp:coreProperties>
</file>