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0" w:lineRule="exact"/>
        <w:rPr>
          <w:sz w:val="24"/>
          <w:szCs w:val="24"/>
          <w:color w:val="auto"/>
        </w:rPr>
      </w:pPr>
    </w:p>
    <w:p>
      <w:pPr>
        <w:ind w:left="5280"/>
        <w:spacing w:after="0"/>
        <w:rPr>
          <w:sz w:val="20"/>
          <w:szCs w:val="20"/>
          <w:color w:val="auto"/>
        </w:rPr>
      </w:pPr>
      <w:r>
        <w:rPr>
          <w:rFonts w:ascii="Arial" w:cs="Arial" w:eastAsia="Arial" w:hAnsi="Arial"/>
          <w:sz w:val="22"/>
          <w:szCs w:val="22"/>
          <w:color w:val="auto"/>
        </w:rPr>
        <w:t>Form 6-K</w:t>
      </w:r>
    </w:p>
    <w:p>
      <w:pPr>
        <w:spacing w:after="0" w:line="200" w:lineRule="exact"/>
        <w:rPr>
          <w:sz w:val="24"/>
          <w:szCs w:val="24"/>
          <w:color w:val="auto"/>
        </w:rPr>
      </w:pPr>
    </w:p>
    <w:p>
      <w:pPr>
        <w:spacing w:after="0" w:line="22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For the month of: February 2014 (Report Number 2)</w:t>
      </w:r>
    </w:p>
    <w:p>
      <w:pPr>
        <w:spacing w:after="0" w:line="200" w:lineRule="exact"/>
        <w:rPr>
          <w:sz w:val="24"/>
          <w:szCs w:val="24"/>
          <w:color w:val="auto"/>
        </w:rPr>
      </w:pPr>
    </w:p>
    <w:p>
      <w:pPr>
        <w:spacing w:after="0" w:line="239" w:lineRule="exact"/>
        <w:rPr>
          <w:sz w:val="24"/>
          <w:szCs w:val="24"/>
          <w:color w:val="auto"/>
        </w:rPr>
      </w:pPr>
    </w:p>
    <w:p>
      <w:pPr>
        <w:jc w:val="center"/>
        <w:ind w:right="-739"/>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5"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February 13, 2014.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692"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5835015</wp:posOffset>
            </wp:positionH>
            <wp:positionV relativeFrom="page">
              <wp:posOffset>912495</wp:posOffset>
            </wp:positionV>
            <wp:extent cx="153479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5860" w:type="dxa"/>
            <w:vAlign w:val="bottom"/>
            <w:gridSpan w:val="2"/>
          </w:tcPr>
          <w:p>
            <w:pPr>
              <w:ind w:left="374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5860" w:type="dxa"/>
            <w:vAlign w:val="bottom"/>
            <w:gridSpan w:val="2"/>
          </w:tcPr>
          <w:p>
            <w:pPr>
              <w:ind w:left="3740"/>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5860" w:type="dxa"/>
            <w:vAlign w:val="bottom"/>
            <w:gridSpan w:val="2"/>
          </w:tcPr>
          <w:p>
            <w:pPr>
              <w:ind w:left="3740"/>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5860" w:type="dxa"/>
            <w:vAlign w:val="bottom"/>
            <w:gridSpan w:val="2"/>
          </w:tcPr>
          <w:p>
            <w:pPr>
              <w:ind w:left="374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5860" w:type="dxa"/>
            <w:vAlign w:val="bottom"/>
            <w:gridSpan w:val="2"/>
          </w:tcPr>
          <w:p>
            <w:pPr>
              <w:ind w:left="3740"/>
              <w:spacing w:after="0" w:line="190" w:lineRule="exact"/>
              <w:rPr>
                <w:sz w:val="20"/>
                <w:szCs w:val="20"/>
                <w:color w:val="auto"/>
              </w:rPr>
            </w:pPr>
            <w:r>
              <w:rPr>
                <w:rFonts w:ascii="Arial" w:cs="Arial" w:eastAsia="Arial" w:hAnsi="Arial"/>
                <w:sz w:val="18"/>
                <w:szCs w:val="18"/>
                <w:color w:val="auto"/>
                <w:w w:val="88"/>
              </w:rPr>
              <w:t>debbie@alcobra-pharma.com</w:t>
            </w:r>
          </w:p>
        </w:tc>
      </w:tr>
      <w:tr>
        <w:trPr>
          <w:trHeight w:val="20"/>
        </w:trPr>
        <w:tc>
          <w:tcPr>
            <w:tcW w:w="19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ALCOBRA ANNOUNCES FOURTH QUARTER AND FISCAL YEAR END 2013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RESULTS AND CORPORATE UPDATE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Tel Aviv, Israel – February 13, 2014 </w:t>
      </w:r>
      <w:r>
        <w:rPr>
          <w:rFonts w:ascii="Arial" w:cs="Arial" w:eastAsia="Arial" w:hAnsi="Arial"/>
          <w:sz w:val="18"/>
          <w:szCs w:val="18"/>
          <w:color w:val="auto"/>
        </w:rPr>
        <w:t>– Alcobra Ltd. (NASDAQCM: ADHD), an emerging biopharmaceutical company primarily focused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its proprietary drug candidate, MG01CI (Metadoxine extended-release), to treat cognitive dysfunctions, such as Attention Deficit Hyperactivity Disorder (ADHD) and Fragile X Syndrome, today announced its financial results for the quarter and year-ended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Quarter and FY 2013 Financial Results:</w:t>
      </w:r>
    </w:p>
    <w:p>
      <w:pPr>
        <w:spacing w:after="0" w:line="12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operating expenses for the three-month period ended December 31, 2013 totaled $5.6 million, compared to $0.2 million in the same period of 2012.</w:t>
      </w:r>
    </w:p>
    <w:p>
      <w:pPr>
        <w:spacing w:after="0" w:line="248" w:lineRule="exact"/>
        <w:rPr>
          <w:rFonts w:ascii="Arial" w:cs="Arial" w:eastAsia="Arial" w:hAnsi="Arial"/>
          <w:sz w:val="16"/>
          <w:szCs w:val="16"/>
          <w:color w:val="auto"/>
        </w:rPr>
      </w:pPr>
    </w:p>
    <w:p>
      <w:pPr>
        <w:ind w:left="340" w:right="4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loss attributable to common shareholders for the three-month period ended December 31, 2013 was $5.7 million, or $0.45 per basic and diluted share. This compares to a net loss of $0.3 million, or $0.04 per basic and diluted share in the same period of 2012.</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operating expenses for the year ended December 31, 2013 totaled $10.3 million, compared to $1.5 million for the year ended December 31, 2012. Net loss attributable to common shareholders was $10.5 million, or $1.04 per basic and diluted share.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December 31, 2013, the Company had cash &amp; cash equivalents of approximately $50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highly statistically significant positive results with lead product candidate MG01CI in a Phase IIb clinical trial in adults with Predominantly Inattentive Attention Deficit Hyperactivity Disorder (PI-ADHD).</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results from a preclinical abuse liability study demonstrating Metadoxine has substantially less potential for abuse than methylphenidate, a common stimulant ADHD medication.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 Food &amp; Drug Administration (FDA) granted "Orphan Drug" designation for Metadoxine in the treatment of Fragile X Syndrome.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an IND with the FDA to initiate a Phase III clinical trial with MG01CI in Adults with ADHD.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a successful public offering of shares, netting the Company approximately $35 million.</w:t>
      </w:r>
    </w:p>
    <w:p>
      <w:pPr>
        <w:spacing w:after="0" w:line="225" w:lineRule="exact"/>
        <w:rPr>
          <w:sz w:val="20"/>
          <w:szCs w:val="20"/>
          <w:color w:val="auto"/>
        </w:rPr>
      </w:pPr>
    </w:p>
    <w:p>
      <w:pPr>
        <w:ind w:left="980" w:right="4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Provides the Company with the necessary resources to fund the MG01CI ADHD and Fragile X programs through FDA approvals for each indication.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Strengthened Executive Management team with the addition of industry veteran David Baker as the Company’s Chief Commercial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157480</wp:posOffset>
            </wp:positionV>
            <wp:extent cx="1534795"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5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appointment of Howard Rosen as the Company’s Chairman of the Board of Directors.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made excellent progress on clinical, operational and financial fronts, and as a result significantly enhanced shareholders value. Our main focus continues to be on the development and commercialization of our lead drug candidate MG01CI to treat cognitive dysfunctions such as Attention Deficit/Hyperactivity Disorder,” said Dr. Yaron Daniely, President and CEO of Alcobra. “We achieved an important milestone in December when we announced positive results in our second Phase IIb trial in adults with predominantly inattentive ADHD. We now have two placebo-controlled Phase II studies that show the substantial efficacy and tolerability attributes of MG01CI in adults with ADHD. These trials demonstrate what we believe are key differentiating attributes of MG01CI in the treatment of ADHD. We have filed an IND which will allow us to proceed with clinical trials in the US for all MG01CI uses. We expect to begin enrolling patients into the first of two large Phase III clinical trials during the first quarter of 2014.”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public financing we completed during the fourth quarter puts us in a very strong position financially,” added Dr. Daniely. “Together with the capital we raised in the IPO last year, we now have the necessary cash to fund the expansion of our clinical research programs into new indications beyond the adult ADHD program. The funds raised are expected to allow us to proceed with the planned pediatric clinical trials for MG01CI in ADHD both this year and in 2015, as well as the Fragile X programs in adults and children through expected approvals.”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Conference Call &amp; Webcast</w:t>
            </w:r>
          </w:p>
        </w:tc>
        <w:tc>
          <w:tcPr>
            <w:tcW w:w="2000" w:type="dxa"/>
            <w:vAlign w:val="bottom"/>
          </w:tcPr>
          <w:p>
            <w:pPr>
              <w:spacing w:after="0"/>
              <w:rPr>
                <w:sz w:val="18"/>
                <w:szCs w:val="18"/>
                <w:color w:val="auto"/>
              </w:rPr>
            </w:pPr>
          </w:p>
        </w:tc>
      </w:tr>
      <w:tr>
        <w:trPr>
          <w:trHeight w:val="190"/>
        </w:trPr>
        <w:tc>
          <w:tcPr>
            <w:tcW w:w="5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i w:val="1"/>
                <w:iCs w:val="1"/>
                <w:color w:val="auto"/>
                <w:w w:val="89"/>
              </w:rPr>
              <w:t>Thursday, February 13, 2014 @ 8:30am Eastern Time/5:30am Pacific Time</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000" w:type="dxa"/>
            <w:vAlign w:val="bottom"/>
          </w:tcPr>
          <w:p>
            <w:pPr>
              <w:ind w:left="100"/>
              <w:spacing w:after="0"/>
              <w:rPr>
                <w:sz w:val="20"/>
                <w:szCs w:val="20"/>
                <w:color w:val="auto"/>
              </w:rPr>
            </w:pPr>
            <w:r>
              <w:rPr>
                <w:rFonts w:ascii="Arial" w:cs="Arial" w:eastAsia="Arial" w:hAnsi="Arial"/>
                <w:sz w:val="18"/>
                <w:szCs w:val="18"/>
                <w:color w:val="auto"/>
              </w:rPr>
              <w:t>855-469-0611</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ind w:left="100"/>
              <w:spacing w:after="0"/>
              <w:rPr>
                <w:sz w:val="20"/>
                <w:szCs w:val="20"/>
                <w:color w:val="auto"/>
              </w:rPr>
            </w:pPr>
            <w:r>
              <w:rPr>
                <w:rFonts w:ascii="Arial" w:cs="Arial" w:eastAsia="Arial" w:hAnsi="Arial"/>
                <w:sz w:val="18"/>
                <w:szCs w:val="18"/>
                <w:color w:val="auto"/>
              </w:rPr>
              <w:t>484-756-4341</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Passcode:</w:t>
            </w:r>
          </w:p>
        </w:tc>
        <w:tc>
          <w:tcPr>
            <w:tcW w:w="2000" w:type="dxa"/>
            <w:vAlign w:val="bottom"/>
          </w:tcPr>
          <w:p>
            <w:pPr>
              <w:ind w:left="100"/>
              <w:spacing w:after="0"/>
              <w:rPr>
                <w:sz w:val="20"/>
                <w:szCs w:val="20"/>
                <w:color w:val="auto"/>
              </w:rPr>
            </w:pPr>
            <w:r>
              <w:rPr>
                <w:rFonts w:ascii="Arial" w:cs="Arial" w:eastAsia="Arial" w:hAnsi="Arial"/>
                <w:sz w:val="18"/>
                <w:szCs w:val="18"/>
                <w:color w:val="auto"/>
              </w:rPr>
              <w:t>34670631</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Webcast:</w:t>
            </w:r>
          </w:p>
        </w:tc>
        <w:tc>
          <w:tcPr>
            <w:tcW w:w="2000" w:type="dxa"/>
            <w:vAlign w:val="bottom"/>
          </w:tcPr>
          <w:p>
            <w:pPr>
              <w:ind w:left="100"/>
              <w:spacing w:after="0"/>
              <w:rPr>
                <w:sz w:val="20"/>
                <w:szCs w:val="20"/>
                <w:color w:val="auto"/>
              </w:rPr>
            </w:pPr>
            <w:r>
              <w:rPr>
                <w:rFonts w:ascii="Arial" w:cs="Arial" w:eastAsia="Arial" w:hAnsi="Arial"/>
                <w:sz w:val="18"/>
                <w:szCs w:val="18"/>
                <w:color w:val="auto"/>
                <w:w w:val="89"/>
              </w:rPr>
              <w:t>www.alcobra-pharma.com</w:t>
            </w:r>
          </w:p>
        </w:tc>
      </w:tr>
      <w:tr>
        <w:trPr>
          <w:trHeight w:val="418"/>
        </w:trPr>
        <w:tc>
          <w:tcPr>
            <w:tcW w:w="5720" w:type="dxa"/>
            <w:vAlign w:val="bottom"/>
            <w:gridSpan w:val="2"/>
          </w:tcPr>
          <w:p>
            <w:pPr>
              <w:spacing w:after="0"/>
              <w:rPr>
                <w:sz w:val="20"/>
                <w:szCs w:val="20"/>
                <w:color w:val="auto"/>
              </w:rPr>
            </w:pPr>
            <w:r>
              <w:rPr>
                <w:rFonts w:ascii="Arial" w:cs="Arial" w:eastAsia="Arial" w:hAnsi="Arial"/>
                <w:sz w:val="18"/>
                <w:szCs w:val="18"/>
                <w:color w:val="auto"/>
              </w:rPr>
              <w:t>Replays</w:t>
            </w:r>
          </w:p>
        </w:tc>
        <w:tc>
          <w:tcPr>
            <w:tcW w:w="200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000" w:type="dxa"/>
            <w:vAlign w:val="bottom"/>
          </w:tcPr>
          <w:p>
            <w:pPr>
              <w:ind w:left="100"/>
              <w:spacing w:after="0"/>
              <w:rPr>
                <w:sz w:val="20"/>
                <w:szCs w:val="20"/>
                <w:color w:val="auto"/>
              </w:rPr>
            </w:pPr>
            <w:r>
              <w:rPr>
                <w:rFonts w:ascii="Arial" w:cs="Arial" w:eastAsia="Arial" w:hAnsi="Arial"/>
                <w:sz w:val="18"/>
                <w:szCs w:val="18"/>
                <w:color w:val="auto"/>
              </w:rPr>
              <w:t>855-859-2056</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ind w:left="100"/>
              <w:spacing w:after="0"/>
              <w:rPr>
                <w:sz w:val="20"/>
                <w:szCs w:val="20"/>
                <w:color w:val="auto"/>
              </w:rPr>
            </w:pPr>
            <w:r>
              <w:rPr>
                <w:rFonts w:ascii="Arial" w:cs="Arial" w:eastAsia="Arial" w:hAnsi="Arial"/>
                <w:sz w:val="18"/>
                <w:szCs w:val="18"/>
                <w:color w:val="auto"/>
              </w:rPr>
              <w:t>404-537-3406</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Passcode:</w:t>
            </w:r>
          </w:p>
        </w:tc>
        <w:tc>
          <w:tcPr>
            <w:tcW w:w="2000" w:type="dxa"/>
            <w:vAlign w:val="bottom"/>
          </w:tcPr>
          <w:p>
            <w:pPr>
              <w:ind w:left="100"/>
              <w:spacing w:after="0"/>
              <w:rPr>
                <w:sz w:val="20"/>
                <w:szCs w:val="20"/>
                <w:color w:val="auto"/>
              </w:rPr>
            </w:pPr>
            <w:r>
              <w:rPr>
                <w:rFonts w:ascii="Arial" w:cs="Arial" w:eastAsia="Arial" w:hAnsi="Arial"/>
                <w:sz w:val="18"/>
                <w:szCs w:val="18"/>
                <w:color w:val="auto"/>
              </w:rPr>
              <w:t>34670631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460"/>
        <w:spacing w:after="0" w:line="290" w:lineRule="auto"/>
        <w:rPr>
          <w:sz w:val="20"/>
          <w:szCs w:val="20"/>
          <w:color w:val="auto"/>
        </w:rPr>
      </w:pPr>
      <w:r>
        <w:rPr>
          <w:rFonts w:ascii="Arial" w:cs="Arial" w:eastAsia="Arial" w:hAnsi="Arial"/>
          <w:sz w:val="16"/>
          <w:szCs w:val="16"/>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MG01CI may be helpful to treat cognitive dysfunctions such as ADHD, including PI-ADHD, and Fragile X or that we will receive favorable results in clinical trials in MG01CI, statements regarding the timing of initiation of enrollment to our Phase III trials, if such trials, or other trials, are commenced at all as well as statements regarding the sufficiency of our financial resources to meet certain milestones, and whether such milestones may be achieved at all. In addition, historic results of scientific research do not guarantee that the conclusions of future research would not suggest different conclusions or that historic results referred to in this press release would be interpreted differently in light of additional research.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-1808480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157480</wp:posOffset>
            </wp:positionV>
            <wp:extent cx="153479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8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102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5"/>
          </w:tcPr>
          <w:p>
            <w:pPr>
              <w:jc w:val="right"/>
              <w:ind w:right="85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4,603</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7,066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526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10,290</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00"/>
              <w:spacing w:after="0"/>
              <w:rPr>
                <w:sz w:val="20"/>
                <w:szCs w:val="20"/>
                <w:color w:val="auto"/>
              </w:rPr>
            </w:pPr>
            <w:r>
              <w:rPr>
                <w:rFonts w:ascii="Arial" w:cs="Arial" w:eastAsia="Arial" w:hAnsi="Arial"/>
                <w:sz w:val="18"/>
                <w:szCs w:val="18"/>
                <w:color w:val="auto"/>
              </w:rPr>
              <w:t>Financial expenses,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Tax expenses</w:t>
            </w:r>
          </w:p>
        </w:tc>
        <w:tc>
          <w:tcPr>
            <w:tcW w:w="16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Net comprehensive loss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Net loss attributable to holders of Ordinary shares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5,704</w:t>
            </w:r>
          </w:p>
        </w:tc>
        <w:tc>
          <w:tcPr>
            <w:tcW w:w="20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10,548</w:t>
            </w:r>
          </w:p>
        </w:tc>
        <w:tc>
          <w:tcPr>
            <w:tcW w:w="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
              <w:spacing w:after="0"/>
              <w:rPr>
                <w:sz w:val="20"/>
                <w:szCs w:val="20"/>
                <w:color w:val="auto"/>
              </w:rPr>
            </w:pPr>
            <w:r>
              <w:rPr>
                <w:rFonts w:ascii="Arial" w:cs="Arial" w:eastAsia="Arial" w:hAnsi="Arial"/>
                <w:sz w:val="18"/>
                <w:szCs w:val="18"/>
                <w:color w:val="auto"/>
              </w:rPr>
              <w:t>Net basic and diluted (gain) loss per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20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0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0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260" w:type="dxa"/>
            <w:vAlign w:val="bottom"/>
            <w:shd w:val="clear" w:color="auto" w:fill="CCFFCC"/>
          </w:tcPr>
          <w:p>
            <w:pPr>
              <w:ind w:left="100"/>
              <w:spacing w:after="0" w:line="156" w:lineRule="exact"/>
              <w:rPr>
                <w:sz w:val="20"/>
                <w:szCs w:val="20"/>
                <w:color w:val="auto"/>
              </w:rPr>
            </w:pPr>
            <w:r>
              <w:rPr>
                <w:rFonts w:ascii="Arial" w:cs="Arial" w:eastAsia="Arial" w:hAnsi="Arial"/>
                <w:sz w:val="18"/>
                <w:szCs w:val="18"/>
                <w:color w:val="auto"/>
                <w:w w:val="99"/>
              </w:rPr>
              <w:t>Weighted average number of Ordinary shares used in computing</w:t>
            </w:r>
          </w:p>
        </w:tc>
        <w:tc>
          <w:tcPr>
            <w:tcW w:w="160" w:type="dxa"/>
            <w:vAlign w:val="bottom"/>
            <w:shd w:val="clear" w:color="auto" w:fill="CCFFCC"/>
          </w:tcPr>
          <w:p>
            <w:pPr>
              <w:spacing w:after="0"/>
              <w:rPr>
                <w:sz w:val="13"/>
                <w:szCs w:val="13"/>
                <w:color w:val="auto"/>
              </w:rPr>
            </w:pPr>
          </w:p>
        </w:tc>
        <w:tc>
          <w:tcPr>
            <w:tcW w:w="11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1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12,756,506</w:t>
            </w:r>
          </w:p>
        </w:tc>
        <w:tc>
          <w:tcPr>
            <w:tcW w:w="1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7,791,785</w:t>
            </w:r>
          </w:p>
        </w:tc>
        <w:tc>
          <w:tcPr>
            <w:tcW w:w="1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10,177,786</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7,791,934</w:t>
            </w:r>
          </w:p>
        </w:tc>
        <w:tc>
          <w:tcPr>
            <w:tcW w:w="0" w:type="dxa"/>
            <w:vAlign w:val="bottom"/>
          </w:tcPr>
          <w:p>
            <w:pPr>
              <w:spacing w:after="0"/>
              <w:rPr>
                <w:sz w:val="1"/>
                <w:szCs w:val="1"/>
                <w:color w:val="auto"/>
              </w:rPr>
            </w:pP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157480</wp:posOffset>
            </wp:positionV>
            <wp:extent cx="1534795" cy="780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4640" w:type="dxa"/>
            <w:vAlign w:val="bottom"/>
            <w:gridSpan w:val="2"/>
          </w:tcPr>
          <w:p>
            <w:pPr>
              <w:jc w:val="right"/>
              <w:ind w:right="2540"/>
              <w:spacing w:after="0"/>
              <w:rPr>
                <w:sz w:val="20"/>
                <w:szCs w:val="20"/>
                <w:color w:val="auto"/>
              </w:rPr>
            </w:pPr>
            <w:r>
              <w:rPr>
                <w:rFonts w:ascii="Arial" w:cs="Arial" w:eastAsia="Arial" w:hAnsi="Arial"/>
                <w:sz w:val="18"/>
                <w:szCs w:val="18"/>
                <w:b w:val="1"/>
                <w:bCs w:val="1"/>
                <w:color w:val="auto"/>
              </w:rPr>
              <w:t>ASSETS</w:t>
            </w: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22,095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Short-term bank deposits</w:t>
            </w:r>
          </w:p>
        </w:tc>
        <w:tc>
          <w:tcPr>
            <w:tcW w:w="4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28,008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40"/>
              <w:spacing w:after="0"/>
              <w:rPr>
                <w:sz w:val="20"/>
                <w:szCs w:val="20"/>
                <w:color w:val="auto"/>
              </w:rPr>
            </w:pPr>
            <w:r>
              <w:rPr>
                <w:rFonts w:ascii="Arial" w:cs="Arial" w:eastAsia="Arial" w:hAnsi="Arial"/>
                <w:sz w:val="18"/>
                <w:szCs w:val="18"/>
                <w:color w:val="auto"/>
              </w:rPr>
              <w:t>Receivables and prepaid expenses</w:t>
            </w:r>
          </w:p>
        </w:tc>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94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Total current assets</w:t>
            </w:r>
          </w:p>
        </w:tc>
        <w:tc>
          <w:tcPr>
            <w:tcW w:w="45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50,218</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Long-term assets:</w:t>
            </w:r>
          </w:p>
        </w:tc>
        <w:tc>
          <w:tcPr>
            <w:tcW w:w="4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Other long-term assets</w:t>
            </w:r>
          </w:p>
        </w:tc>
        <w:tc>
          <w:tcPr>
            <w:tcW w:w="45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long-term assets</w:t>
            </w:r>
          </w:p>
        </w:tc>
        <w:tc>
          <w:tcPr>
            <w:tcW w:w="45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assets</w:t>
            </w:r>
          </w:p>
        </w:tc>
        <w:tc>
          <w:tcPr>
            <w:tcW w:w="4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50,324</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940" w:type="dxa"/>
            <w:vAlign w:val="bottom"/>
            <w:tcBorders>
              <w:top w:val="single" w:sz="8" w:color="CCFFCC"/>
            </w:tcBorders>
          </w:tcPr>
          <w:p>
            <w:pPr>
              <w:spacing w:after="0" w:line="20" w:lineRule="exact"/>
              <w:rPr>
                <w:sz w:val="1"/>
                <w:szCs w:val="1"/>
                <w:color w:val="auto"/>
              </w:rPr>
            </w:pPr>
          </w:p>
        </w:tc>
        <w:tc>
          <w:tcPr>
            <w:tcW w:w="45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9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LIABILITIES AND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49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SHAREHOLDERS’ EQUITY (DEFICIENCY)</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Trade payables</w:t>
            </w:r>
          </w:p>
        </w:tc>
        <w:tc>
          <w:tcPr>
            <w:tcW w:w="4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Accrued expenses and other liabilities</w:t>
            </w:r>
          </w:p>
        </w:tc>
        <w:tc>
          <w:tcPr>
            <w:tcW w:w="45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1,589</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4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388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1,636</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Shareholders’ equity:</w:t>
            </w:r>
          </w:p>
        </w:tc>
        <w:tc>
          <w:tcPr>
            <w:tcW w:w="45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Treasury shares</w:t>
            </w:r>
          </w:p>
        </w:tc>
        <w:tc>
          <w:tcPr>
            <w:tcW w:w="45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67,383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w w:val="95"/>
              </w:rPr>
              <w:t>Deficit accumulated during the development stage</w:t>
            </w:r>
          </w:p>
        </w:tc>
        <w:tc>
          <w:tcPr>
            <w:tcW w:w="45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(18,734)</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shareholders’ equity (deficiency)</w:t>
            </w:r>
          </w:p>
        </w:tc>
        <w:tc>
          <w:tcPr>
            <w:tcW w:w="45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48,688</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w w:val="92"/>
              </w:rPr>
              <w:t>Total liabilities and shareholders’ equity (deficiency)</w:t>
            </w:r>
          </w:p>
        </w:tc>
        <w:tc>
          <w:tcPr>
            <w:tcW w:w="49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50,324</w:t>
            </w:r>
          </w:p>
        </w:tc>
        <w:tc>
          <w:tcPr>
            <w:tcW w:w="5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FFCC"/>
            </w:tcBorders>
          </w:tcPr>
          <w:p>
            <w:pPr>
              <w:spacing w:after="0" w:line="20" w:lineRule="exact"/>
              <w:rPr>
                <w:sz w:val="1"/>
                <w:szCs w:val="1"/>
                <w:color w:val="auto"/>
              </w:rPr>
            </w:pPr>
          </w:p>
        </w:tc>
        <w:tc>
          <w:tcPr>
            <w:tcW w:w="4580" w:type="dxa"/>
            <w:vAlign w:val="bottom"/>
            <w:tcBorders>
              <w:top w:val="single" w:sz="8" w:color="CCFFCC"/>
              <w:bottom w:val="single" w:sz="8" w:color="CCFFCC"/>
            </w:tcBorders>
            <w:vMerge w:val="restart"/>
          </w:tcPr>
          <w:p>
            <w:pPr>
              <w:jc w:val="center"/>
              <w:ind w:right="830"/>
              <w:spacing w:after="0"/>
              <w:rPr>
                <w:sz w:val="20"/>
                <w:szCs w:val="20"/>
                <w:color w:val="auto"/>
              </w:rPr>
            </w:pPr>
            <w:r>
              <w:rPr>
                <w:rFonts w:ascii="Arial" w:cs="Arial" w:eastAsia="Arial" w:hAnsi="Arial"/>
                <w:sz w:val="18"/>
                <w:szCs w:val="18"/>
                <w:color w:val="auto"/>
                <w:w w:val="99"/>
              </w:rPr>
              <w:t>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157480</wp:posOffset>
            </wp:positionV>
            <wp:extent cx="1534795"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Flow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8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1020"/>
              <w:spacing w:after="0"/>
              <w:rPr>
                <w:sz w:val="20"/>
                <w:szCs w:val="20"/>
                <w:color w:val="auto"/>
              </w:rPr>
            </w:pPr>
            <w:r>
              <w:rPr>
                <w:rFonts w:ascii="Arial" w:cs="Arial" w:eastAsia="Arial" w:hAnsi="Arial"/>
                <w:sz w:val="18"/>
                <w:szCs w:val="18"/>
                <w:color w:val="auto"/>
              </w:rPr>
              <w:t>Year Ended</w:t>
            </w:r>
          </w:p>
        </w:tc>
      </w:tr>
      <w:tr>
        <w:trPr>
          <w:trHeight w:val="210"/>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5"/>
          </w:tcPr>
          <w:p>
            <w:pPr>
              <w:jc w:val="right"/>
              <w:ind w:right="85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r>
      <w:tr>
        <w:trPr>
          <w:trHeight w:val="210"/>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(10,548)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(1,579)</w:t>
            </w:r>
          </w:p>
        </w:tc>
      </w:tr>
      <w:tr>
        <w:trPr>
          <w:trHeight w:val="202"/>
        </w:trPr>
        <w:tc>
          <w:tcPr>
            <w:tcW w:w="49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Adjustments to reconcile net loss to net cash used in operating</w:t>
            </w:r>
          </w:p>
        </w:tc>
        <w:tc>
          <w:tcPr>
            <w:tcW w:w="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from sale of property, plant and equipment</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Decrease (increase) in receivables and prepaid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(increase) in other long-term assets</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Increase (decrease) in trade payables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in accrued expenses and other liabilities</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Interest on convertible notes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r>
      <w:tr>
        <w:trPr>
          <w:trHeight w:val="210"/>
        </w:trPr>
        <w:tc>
          <w:tcPr>
            <w:tcW w:w="4940" w:type="dxa"/>
            <w:vAlign w:val="bottom"/>
            <w:tcBorders>
              <w:bottom w:val="single" w:sz="8" w:color="CCFFCC"/>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9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 in (proceeds from) short-term bank deposit</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(13,008)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(28,008)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517</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Investment in restricted bank deposit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r>
      <w:tr>
        <w:trPr>
          <w:trHeight w:val="210"/>
        </w:trPr>
        <w:tc>
          <w:tcPr>
            <w:tcW w:w="494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(13,027</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(28,047</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shares, net</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Issuance of share capital upon public offering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options</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10"/>
        </w:trPr>
        <w:tc>
          <w:tcPr>
            <w:tcW w:w="49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35,363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57,398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r>
      <w:tr>
        <w:trPr>
          <w:trHeight w:val="210"/>
        </w:trPr>
        <w:tc>
          <w:tcPr>
            <w:tcW w:w="49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17,556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21,998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49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0"/>
        </w:trPr>
        <w:tc>
          <w:tcPr>
            <w:tcW w:w="49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8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22,095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22,095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197"/>
        </w:trPr>
        <w:tc>
          <w:tcPr>
            <w:tcW w:w="49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4"/>
              </w:rPr>
              <w:t>Issuance of ordinary shares upon conversion of convertible notes</w:t>
            </w:r>
          </w:p>
        </w:tc>
        <w:tc>
          <w:tcPr>
            <w:tcW w:w="3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2019-12-08T06:37:10Z</dcterms:created>
  <dcterms:modified xsi:type="dcterms:W3CDTF">2019-12-08T06:37:10Z</dcterms:modified>
</cp:coreProperties>
</file>