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18810_4-jing.xml.htm"/>
      <w:bookmarkStart w:id="1" w:name="kse618810_4jing"/>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Marantz Jing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11,869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underlying the option vest monthly over a one year period from the date of grant; provided however, that the remaining unvested balance will vest and become fully exercisable at the Issuer's 2024 annual meeting of stockholders. This represents a portion of the 2023 annual grant to the Reporting Person as a member of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economically equivalent to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underlying the deferred stock units shall vest at the Issuer's 2024 annual meeting of stockholders. The shares underlying the deferred stock units will be issued on (or as soon as reasonably practicable following) the earlier of the Reporting Person's separation from service or a change in ownership of the Issuer or a substantial portion of its assets or a change in effective control of the Issuer within the meaning of regulations issued under Section 409A of the Internal Revenue Code. This represents a portion of the 2023 annual grant to the Reporting Person as a member of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4528"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4100</Characters>
  <CharactersWithSpaces>4794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