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month of: September 2015</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00" w:lineRule="exact"/>
        <w:rPr>
          <w:sz w:val="24"/>
          <w:szCs w:val="24"/>
          <w:color w:val="auto"/>
        </w:rPr>
      </w:pPr>
    </w:p>
    <w:p>
      <w:pPr>
        <w:spacing w:after="0" w:line="241" w:lineRule="exact"/>
        <w:rPr>
          <w:sz w:val="24"/>
          <w:szCs w:val="24"/>
          <w:color w:val="auto"/>
        </w:rPr>
      </w:pPr>
    </w:p>
    <w:p>
      <w:pPr>
        <w:ind w:firstLine="648"/>
        <w:spacing w:after="0" w:line="308" w:lineRule="auto"/>
        <w:rPr>
          <w:sz w:val="20"/>
          <w:szCs w:val="20"/>
          <w:color w:val="auto"/>
        </w:rPr>
      </w:pPr>
      <w:r>
        <w:rPr>
          <w:rFonts w:ascii="Arial" w:cs="Arial" w:eastAsia="Arial" w:hAnsi="Arial"/>
          <w:sz w:val="17"/>
          <w:szCs w:val="17"/>
          <w:color w:val="auto"/>
        </w:rPr>
        <w:t>Attached hereto and incorporated by reference herein is the Registrant's press release issued on September 21, 2015, announcing that the U.S. Food and Drug Administration has granted Fast Track designation to Metadoxine Extended Release for the treatment of Fragile X Syndrome.</w:t>
      </w:r>
    </w:p>
    <w:p>
      <w:pPr>
        <w:spacing w:after="0" w:line="147" w:lineRule="exact"/>
        <w:rPr>
          <w:sz w:val="24"/>
          <w:szCs w:val="24"/>
          <w:color w:val="auto"/>
        </w:rPr>
      </w:pPr>
    </w:p>
    <w:p>
      <w:pPr>
        <w:ind w:right="60" w:firstLine="648"/>
        <w:spacing w:after="0" w:line="312" w:lineRule="auto"/>
        <w:rPr>
          <w:sz w:val="20"/>
          <w:szCs w:val="20"/>
          <w:color w:val="auto"/>
        </w:rPr>
      </w:pPr>
      <w:r>
        <w:rPr>
          <w:rFonts w:ascii="Arial" w:cs="Arial" w:eastAsia="Arial" w:hAnsi="Arial"/>
          <w:sz w:val="16"/>
          <w:szCs w:val="16"/>
          <w:color w:val="auto"/>
        </w:rPr>
        <w:t>The first paragraph of the press release attached to this Form 6-K of the Registrant is incorporated by reference into the Registration Statements on Form F-3 (File No. 333-197411) and Form S-8 (File No. 333-194875) of the Registrant, filed with the Securities and Exchange Commission, to be a part thereof from the date on which this report is submitted,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476"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w w:val="99"/>
              </w:rPr>
              <w:t>Exhibit No.</w:t>
            </w:r>
          </w:p>
        </w:tc>
        <w:tc>
          <w:tcPr>
            <w:tcW w:w="10460" w:type="dxa"/>
            <w:vAlign w:val="bottom"/>
          </w:tcPr>
          <w:p>
            <w:pPr>
              <w:spacing w:after="0"/>
              <w:rPr>
                <w:sz w:val="20"/>
                <w:szCs w:val="20"/>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10460" w:type="dxa"/>
            <w:vAlign w:val="bottom"/>
          </w:tcPr>
          <w:p>
            <w:pPr>
              <w:ind w:left="80"/>
              <w:spacing w:after="0"/>
              <w:rPr>
                <w:sz w:val="20"/>
                <w:szCs w:val="20"/>
                <w:color w:val="auto"/>
              </w:rPr>
            </w:pPr>
            <w:r>
              <w:rPr>
                <w:rFonts w:ascii="Arial" w:cs="Arial" w:eastAsia="Arial" w:hAnsi="Arial"/>
                <w:sz w:val="18"/>
                <w:szCs w:val="18"/>
                <w:color w:val="auto"/>
                <w:w w:val="91"/>
              </w:rPr>
              <w:t>Press release issued by Alcobra Ltd. on September 21, 2015, announcing that the U.S. Food and Drug Administration has granted Fast Track</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designation to Metadoxine Extended Release for the treatment of Fragile X Syndrome.</w:t>
            </w:r>
          </w:p>
        </w:tc>
      </w:tr>
      <w:tr>
        <w:trPr>
          <w:trHeight w:val="675"/>
        </w:trPr>
        <w:tc>
          <w:tcPr>
            <w:tcW w:w="9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Dr. Yaron Daniely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165735</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4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860" w:type="dxa"/>
            <w:vAlign w:val="bottom"/>
          </w:tcPr>
          <w:p>
            <w:pPr>
              <w:ind w:left="960"/>
              <w:spacing w:after="0"/>
              <w:rPr>
                <w:sz w:val="20"/>
                <w:szCs w:val="20"/>
                <w:color w:val="auto"/>
              </w:rPr>
            </w:pPr>
            <w:r>
              <w:rPr>
                <w:rFonts w:ascii="Arial" w:cs="Arial" w:eastAsia="Arial" w:hAnsi="Arial"/>
                <w:sz w:val="18"/>
                <w:szCs w:val="18"/>
                <w:b w:val="1"/>
                <w:bCs w:val="1"/>
                <w:color w:val="auto"/>
              </w:rPr>
              <w:t>Media Inquiries</w:t>
            </w:r>
          </w:p>
        </w:tc>
        <w:tc>
          <w:tcPr>
            <w:tcW w:w="3000" w:type="dxa"/>
            <w:vAlign w:val="bottom"/>
          </w:tcPr>
          <w:p>
            <w:pPr>
              <w:ind w:left="86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LifeSci Advisors, LLC</w:t>
            </w:r>
          </w:p>
        </w:tc>
        <w:tc>
          <w:tcPr>
            <w:tcW w:w="3860" w:type="dxa"/>
            <w:vAlign w:val="bottom"/>
          </w:tcPr>
          <w:p>
            <w:pPr>
              <w:ind w:left="960"/>
              <w:spacing w:after="0"/>
              <w:rPr>
                <w:sz w:val="20"/>
                <w:szCs w:val="20"/>
                <w:color w:val="auto"/>
              </w:rPr>
            </w:pPr>
            <w:r>
              <w:rPr>
                <w:rFonts w:ascii="Arial" w:cs="Arial" w:eastAsia="Arial" w:hAnsi="Arial"/>
                <w:sz w:val="18"/>
                <w:szCs w:val="18"/>
                <w:color w:val="auto"/>
              </w:rPr>
              <w:t>Sam Brown, Inc.</w:t>
            </w:r>
          </w:p>
        </w:tc>
        <w:tc>
          <w:tcPr>
            <w:tcW w:w="3000" w:type="dxa"/>
            <w:vAlign w:val="bottom"/>
          </w:tcPr>
          <w:p>
            <w:pPr>
              <w:ind w:left="860"/>
              <w:spacing w:after="0"/>
              <w:rPr>
                <w:sz w:val="20"/>
                <w:szCs w:val="20"/>
                <w:color w:val="auto"/>
              </w:rPr>
            </w:pPr>
            <w:r>
              <w:rPr>
                <w:rFonts w:ascii="Arial" w:cs="Arial" w:eastAsia="Arial" w:hAnsi="Arial"/>
                <w:sz w:val="18"/>
                <w:szCs w:val="18"/>
                <w:color w:val="auto"/>
              </w:rPr>
              <w:t>Alcobra Investor Relations</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Michael Rice</w:t>
            </w:r>
          </w:p>
        </w:tc>
        <w:tc>
          <w:tcPr>
            <w:tcW w:w="3860" w:type="dxa"/>
            <w:vAlign w:val="bottom"/>
          </w:tcPr>
          <w:p>
            <w:pPr>
              <w:ind w:left="960"/>
              <w:spacing w:after="0"/>
              <w:rPr>
                <w:sz w:val="20"/>
                <w:szCs w:val="20"/>
                <w:color w:val="auto"/>
              </w:rPr>
            </w:pPr>
            <w:r>
              <w:rPr>
                <w:rFonts w:ascii="Arial" w:cs="Arial" w:eastAsia="Arial" w:hAnsi="Arial"/>
                <w:sz w:val="18"/>
                <w:szCs w:val="18"/>
                <w:color w:val="auto"/>
              </w:rPr>
              <w:t>Mike Beyer</w:t>
            </w:r>
          </w:p>
        </w:tc>
        <w:tc>
          <w:tcPr>
            <w:tcW w:w="3000" w:type="dxa"/>
            <w:vAlign w:val="bottom"/>
          </w:tcPr>
          <w:p>
            <w:pPr>
              <w:ind w:left="860"/>
              <w:spacing w:after="0"/>
              <w:rPr>
                <w:sz w:val="20"/>
                <w:szCs w:val="20"/>
                <w:color w:val="auto"/>
              </w:rPr>
            </w:pPr>
            <w:r>
              <w:rPr>
                <w:rFonts w:ascii="Arial" w:cs="Arial" w:eastAsia="Arial" w:hAnsi="Arial"/>
                <w:sz w:val="18"/>
                <w:szCs w:val="18"/>
                <w:color w:val="auto"/>
              </w:rPr>
              <w:t>Debbie Kaye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646-597-6979</w:t>
            </w:r>
          </w:p>
        </w:tc>
        <w:tc>
          <w:tcPr>
            <w:tcW w:w="3860" w:type="dxa"/>
            <w:vAlign w:val="bottom"/>
          </w:tcPr>
          <w:p>
            <w:pPr>
              <w:ind w:left="960"/>
              <w:spacing w:after="0"/>
              <w:rPr>
                <w:sz w:val="20"/>
                <w:szCs w:val="20"/>
                <w:color w:val="auto"/>
              </w:rPr>
            </w:pPr>
            <w:r>
              <w:rPr>
                <w:rFonts w:ascii="Arial" w:cs="Arial" w:eastAsia="Arial" w:hAnsi="Arial"/>
                <w:sz w:val="18"/>
                <w:szCs w:val="18"/>
                <w:color w:val="auto"/>
              </w:rPr>
              <w:t>312-961-2502</w:t>
            </w:r>
          </w:p>
        </w:tc>
        <w:tc>
          <w:tcPr>
            <w:tcW w:w="3000" w:type="dxa"/>
            <w:vAlign w:val="bottom"/>
          </w:tcPr>
          <w:p>
            <w:pPr>
              <w:ind w:left="860"/>
              <w:spacing w:after="0"/>
              <w:rPr>
                <w:sz w:val="20"/>
                <w:szCs w:val="20"/>
                <w:color w:val="auto"/>
              </w:rPr>
            </w:pPr>
            <w:r>
              <w:rPr>
                <w:rFonts w:ascii="Arial" w:cs="Arial" w:eastAsia="Arial" w:hAnsi="Arial"/>
                <w:sz w:val="18"/>
                <w:szCs w:val="18"/>
                <w:color w:val="auto"/>
              </w:rPr>
              <w:t>+972-72 2204661</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3860" w:type="dxa"/>
            <w:vAlign w:val="bottom"/>
          </w:tcPr>
          <w:p>
            <w:pPr>
              <w:ind w:left="960"/>
              <w:spacing w:after="0"/>
              <w:rPr>
                <w:sz w:val="20"/>
                <w:szCs w:val="20"/>
                <w:color w:val="auto"/>
              </w:rPr>
            </w:pPr>
            <w:r>
              <w:rPr>
                <w:rFonts w:ascii="Arial" w:cs="Arial" w:eastAsia="Arial" w:hAnsi="Arial"/>
                <w:sz w:val="18"/>
                <w:szCs w:val="18"/>
                <w:color w:val="0000FF"/>
              </w:rPr>
              <w:t>mikebeyer@sambrown.com</w:t>
            </w:r>
          </w:p>
        </w:tc>
        <w:tc>
          <w:tcPr>
            <w:tcW w:w="3000" w:type="dxa"/>
            <w:vAlign w:val="bottom"/>
          </w:tcPr>
          <w:p>
            <w:pPr>
              <w:ind w:left="860"/>
              <w:spacing w:after="0"/>
              <w:rPr>
                <w:sz w:val="20"/>
                <w:szCs w:val="20"/>
                <w:color w:val="auto"/>
              </w:rPr>
            </w:pPr>
            <w:r>
              <w:rPr>
                <w:rFonts w:ascii="Arial" w:cs="Arial" w:eastAsia="Arial" w:hAnsi="Arial"/>
                <w:sz w:val="18"/>
                <w:szCs w:val="18"/>
                <w:color w:val="0000FF"/>
                <w:w w:val="89"/>
              </w:rPr>
              <w:t>debbie@alcobra-pharma.com</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FDA Grants Fast Track Designation to Alcobra’s MDX for Fragile X Syndrome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Tel Aviv, Israel – September 21, 2015 – </w:t>
      </w:r>
      <w:r>
        <w:rPr>
          <w:rFonts w:ascii="Arial" w:cs="Arial" w:eastAsia="Arial" w:hAnsi="Arial"/>
          <w:sz w:val="18"/>
          <w:szCs w:val="18"/>
          <w:color w:val="auto"/>
        </w:rPr>
        <w:t>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help patients with cognitive disorders, including Attention Deficit Hyperactivity Disorder (ADHD) and Fragile X Syndrome, today announced that the U.S. Food and Drug Administration (FDA) has granted Fast Track designation to Metadoxine Extended Release (MDX) for the treatment of Fragile X Syndrome.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pleased that the FDA has recognized the potential of MDX in Fragile X Syndrome and granted Fast Track designation for this indication,” said Dr. Yaron Daniely, President and Chief Executive Officer of Alcobra. “We look forward to our upcoming meeting with the FDA to determine next steps in advancing the development program for MDX in this area of serious unmet medical need.”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Fast Track designation is a process designed to facilitate the development and expedite the review of drugs that demonstrate the potential to address unmet medical needs in serious or life-threatening diseases or conditions. According to FDA, a disease or condition is considered serious based on its impact on such factors as survival, day-to-day functioning, or the likelihood that the disease, if left untreated, will progress from a less severe to a more serious condition.</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Companies that receive Fast Track designation can have more frequent interactions with the FDA review team to facilitate product development. In addition, based on clinical data, the New Drug Applications (NDA) for these products could be eligible for priority and/or rolling review.</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2013, the FDA granted orphan drug status to metadoxine for the treatment of Fragile X Syndrome. Currently, there are no FDA approved medications for Fragile X Syndrome.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Fragile X Syndrome (FXS)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Fragile X Syndrome (FXS) is a genetic condition that causes intellectual disability, behavioral and learning challenges. FXS is the leading known genetic cause of autism, accounting for about 2-6% of cases. FXS represents an unmet medical need and a rare disease, as defined by the Orphan Drug Act. According to the National Institutes of Health (NIH), approximately one in 4,000 males and one in 8,000 females have FXS.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MDX</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MDX (Metadoxine Extended Release) is a proprietary investigational new drug candidate being developed by Alcobra for the potential treatment of ADHD and FXS. MDX is not a stimulant and acts as a monoamine-independent modulator of GABA (gamma-aminobutyric acid) transmission. In pre-clinical studies to date, metadoxine has shown no potential for abuse or addiction. MDX is currently in Phase III development for adults with ADHD, Phase II development for pediatric ADHD, and Phase II development for FXS.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About Alcobra</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Alcobra Ltd. is an emerging pharmaceutical company primarily focused on the development and commercialization of a proprietary drug candidate, MDX, to treat cognitive disorders including ADHD and FXS. For more information please visit the Company's website, </w:t>
      </w:r>
      <w:r>
        <w:rPr>
          <w:rFonts w:ascii="Arial" w:cs="Arial" w:eastAsia="Arial" w:hAnsi="Arial"/>
          <w:sz w:val="18"/>
          <w:szCs w:val="18"/>
          <w:color w:val="0000FF"/>
        </w:rPr>
        <w:t>www.alcobra-pharma.com</w:t>
      </w:r>
      <w:r>
        <w:rPr>
          <w:rFonts w:ascii="Arial" w:cs="Arial" w:eastAsia="Arial" w:hAnsi="Arial"/>
          <w:sz w:val="18"/>
          <w:szCs w:val="18"/>
          <w:color w:val="auto"/>
        </w:rPr>
        <w:t>, the content of which is not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potential of MDX to treat Fragile X Syndrome, timing and subject matter of meetings with the FDA, whether we will have more frequent interactions with the FDA review team to facilitate product development, whether MDX will be eligible for priority review and/or rolling review of an NDA or that we will be able to benefit from the incentives granted to orphan drugs. In addition, historic results of scientific research do not guarantee that the conclusions of future research would not suggest different conclusions or that historic results referred to in this press release would not be interpreted differently in light of additional research or otherwise. Also, while we have received Fast Track Designation for MDX for the treatment of FXS, we cannot guarantee that we will be able to maintain such designation due to reasons within our outside of our control. The forward-looking statements contained or implied in this press release are subject to other risks and uncertainties, including those discussed under the heading "Risk Factors" in Alcobra Ltd.'s Annual Report on Form 20-F for the fiscal year ended December 31, 2014,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2019-12-09T02:22:10Z</dcterms:created>
  <dcterms:modified xsi:type="dcterms:W3CDTF">2019-12-09T02:22:10Z</dcterms:modified>
</cp:coreProperties>
</file>