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August 2013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35 Ehad Ha-Am Street</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Tel-Aviv, Israel 65202</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2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Attached hereto and incorporated by reference herein is the registrant's press release issued on August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-130810</wp:posOffset>
            </wp:positionV>
            <wp:extent cx="4124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News Release</w:t>
      </w:r>
    </w:p>
    <w:p>
      <w:pPr>
        <w:sectPr>
          <w:pgSz w:w="11900" w:h="16838" w:orient="portrait"/>
          <w:cols w:equalWidth="0" w:num="1">
            <w:col w:w="11420"/>
          </w:cols>
          <w:pgMar w:left="240" w:top="931"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Garth Russell / Jeffrey Goldberger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+1 212.896.1250 / +1 212.896.1249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grussell@kcsa.com / jgoldberger@kcsa.com</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 Meir-Beres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moran@km-ir.co.il</w:t>
      </w:r>
    </w:p>
    <w:p>
      <w:pPr>
        <w:spacing w:after="0" w:line="200" w:lineRule="exact"/>
        <w:rPr>
          <w:sz w:val="20"/>
          <w:szCs w:val="20"/>
          <w:color w:val="auto"/>
        </w:rPr>
      </w:pPr>
    </w:p>
    <w:p>
      <w:pPr>
        <w:sectPr>
          <w:pgSz w:w="11900" w:h="16838" w:orient="portrait"/>
          <w:cols w:equalWidth="0" w:num="2">
            <w:col w:w="6140" w:space="720"/>
            <w:col w:w="4560"/>
          </w:cols>
          <w:pgMar w:left="240" w:top="931"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 REPORTS SECOND QUARTER 2013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Raised $25 million in recent IPO and listed on the NASDAQ on May 21,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Tel Aviv, Israel (August 6, 2013) </w:t>
      </w:r>
      <w:r>
        <w:rPr>
          <w:rFonts w:ascii="Arial" w:cs="Arial" w:eastAsia="Arial" w:hAnsi="Arial"/>
          <w:sz w:val="18"/>
          <w:szCs w:val="18"/>
          <w:color w:val="auto"/>
        </w:rPr>
        <w:t>– Alcobra Ltd. (NASDAQCM: ADHD) (the “Company”), an emerging biopharmaceutical company primarily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and commercialization of its proprietary drug, MG01CI, to treat Attention Deficit Hyperactivity Disorder (ADHD), today reported its results for the fiscal quarter ended June 30,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U.S. Patent 8,476,304, which protects the Company’s lead drug candidate modified release Metadoxine (MG01CI)</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Appointed Dr. Jonathan Rubin as the Company’s Chief Medical Officer to further accelerate and aid in the development of MG01CI as it advances into Phase III U.S. trials</w:t>
      </w: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Published positive results from secondary analysis of the Phase IIb trial comparing the effect of MG01CI with placebo on ADHD subsets</w:t>
      </w:r>
    </w:p>
    <w:p>
      <w:pPr>
        <w:spacing w:after="0" w:line="21" w:lineRule="exact"/>
        <w:rPr>
          <w:sz w:val="20"/>
          <w:szCs w:val="20"/>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Data shows that MG01CI is highly efficacious for treating adults with ADHD-PI and inattention symptoms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Analysis was published in the July 2013 issue of </w:t>
      </w:r>
      <w:r>
        <w:rPr>
          <w:rFonts w:ascii="Arial" w:cs="Arial" w:eastAsia="Arial" w:hAnsi="Arial"/>
          <w:sz w:val="18"/>
          <w:szCs w:val="18"/>
          <w:i w:val="1"/>
          <w:iCs w:val="1"/>
          <w:color w:val="auto"/>
        </w:rPr>
        <w:t>Postgraduate Medicine Journal</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Scheduled to start a placebo-controlled clinical study further establishing the immediate onset and magnitude of the effect of several doses of MG01CI in patients with ADHD-PI in August 2013.</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successful IPO in May and listing on the NASDAQ, we have achieved a number of significant milestones which have advanced our efforts to further develop our proprietary drug, MG01CI,” stated Dr. Yaron Daniely, President and CEO of Alcobra.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help guide our expanding clinical work, we recently appointed Dr. Jonathan Rubin as our Chief Medical Officer. With tremendous experience within the ADHD arena, Dr. Rubin will directly oversee our research and clinical activities and help accelerate the development of MG01CI for potential commercialization in this large and underpenetrated market, as well as other cognitive indications,” continued Dr. Daniely.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strongly believe that MG01CI may represent a safer and more efficacious, non-stimulant treatment for ADHD, especially compared to today’s leading stimulant ADHD drugs such as Vyvanse, Concerta and Adderall, as well as the non-stimulant ADHD medication, Strattera. Our proprietary drug features an immediate onset of action, and presents no addictive features and is extremely well-tolerated. As a result, we are excited by the potential MG01CI has to revolutionize the ADHD market,” concluded Dr.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expenses for the second quarter of 2013 were $1.2 million, of which $0.7 million was non cash charges from stock based compensation mainly related to the completion of the Company's IPO in late-May. Excluding the stock based compensation, operating expenses for the second quarter of 2013 were $0.3 million. The Company expects quarterly operating expenses to increase from the $0.3 million throughout the remainder of 2013 due to the hiring of experienced and senior personnel and the advancement of the Company’s clinical development plan.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Financial expenses for the second quarter of 2013 were $0.1 million, of which $0.1 million were related to the convertible loan that was converted to equity upon the IPO.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for the second quarter of 2013 was $1.3 million, or $0.15 per basic and diluted share, compared to $0.4 million, or $0.06 per basic and diluted share, for the same period of 2012. The net loss attributable to holders of ordinary shares for the second quarter of 2013 includes approximately $0.7 million in stock base compensation and $0.1 million of interest on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2013, cash, cash equivalents and short-term deposits totaled $21.6 million, compared with $0.1 million as of December 31, 2012.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Alcobra will hold a conference call today, August 6</w:t>
      </w:r>
      <w:r>
        <w:rPr>
          <w:rFonts w:ascii="Arial" w:cs="Arial" w:eastAsia="Arial" w:hAnsi="Arial"/>
          <w:sz w:val="28"/>
          <w:szCs w:val="28"/>
          <w:color w:val="auto"/>
          <w:vertAlign w:val="superscript"/>
        </w:rPr>
        <w:t>th</w:t>
      </w:r>
      <w:r>
        <w:rPr>
          <w:rFonts w:ascii="Arial" w:cs="Arial" w:eastAsia="Arial" w:hAnsi="Arial"/>
          <w:sz w:val="17"/>
          <w:szCs w:val="17"/>
          <w:color w:val="auto"/>
        </w:rPr>
        <w:t>, at 9 a.m. EDT to discuss events that occurred during the quarter and provide an update on the business. The call will be available via webcast and can be accessed through the Alcobra website, http://www.alcobra-pharma.com/events.cfm. Please allow extra time prior to the call to visit the site and download any necessary software to listen to the live broadcast. To dial into the conference call, please dial 1-877-375-4189 (U.S. and Canada) or 1-973-935-2046 (Internationally); and use the passcode: 20461839.</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unable to listen to the live event, an archive of the conference call will be available on the Alcobra website, http://www.alcobra-pharma.com/events.cfm. A telephonic playback of the conference call will be available for one week after the call by calling 1-855-859-2056 (U.S. and Canada) and 1-404-537-3406 (Internationally); and use the passcode: 20461839.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MG01CI, to treat Attention Deficit Hyperactivity Disorder. MG01CI has completed Phase II studies to treat Attention Deficit Hyperactivity Disorder. The company was founded in 2008 and is headquartered in 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commencement, timing of commencement and advancement of clinical trials, the possible future effect of the MG01CI product on the ADHD market and change in levels of expenses. The forward-looking statements contained or implied in this press release are subject to other risks and uncertainties, including those discussed under the heading “Risk Factors” in Alcobra Ltd.’s registration statement on Form F-1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360"/>
          </w:cols>
          <w:pgMar w:left="240" w:top="904"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Pharma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8"/>
                <w:szCs w:val="18"/>
                <w:color w:val="auto"/>
                <w:w w:val="93"/>
              </w:rPr>
              <w:t>Three Months Ended</w:t>
            </w:r>
          </w:p>
        </w:tc>
        <w:tc>
          <w:tcPr>
            <w:tcW w:w="140" w:type="dxa"/>
            <w:vAlign w:val="bottom"/>
          </w:tcPr>
          <w:p>
            <w:pPr>
              <w:spacing w:after="0"/>
              <w:rPr>
                <w:sz w:val="20"/>
                <w:szCs w:val="20"/>
                <w:color w:val="auto"/>
              </w:rPr>
            </w:pPr>
          </w:p>
        </w:tc>
        <w:tc>
          <w:tcPr>
            <w:tcW w:w="1940" w:type="dxa"/>
            <w:vAlign w:val="bottom"/>
            <w:gridSpan w:val="6"/>
          </w:tcPr>
          <w:p>
            <w:pPr>
              <w:jc w:val="right"/>
              <w:ind w:right="3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5"/>
          </w:tcPr>
          <w:p>
            <w:pPr>
              <w:jc w:val="right"/>
              <w:ind w:right="61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(unaudited)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988</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net</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1,716</w:t>
            </w: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50"/>
        </w:trPr>
        <w:tc>
          <w:tcPr>
            <w:tcW w:w="7240" w:type="dxa"/>
            <w:vAlign w:val="bottom"/>
            <w:gridSpan w:val="2"/>
          </w:tcPr>
          <w:p>
            <w:pPr>
              <w:spacing w:after="0"/>
              <w:rPr>
                <w:sz w:val="20"/>
                <w:szCs w:val="20"/>
                <w:color w:val="auto"/>
              </w:rPr>
            </w:pPr>
            <w:r>
              <w:rPr>
                <w:rFonts w:ascii="Arial" w:cs="Arial" w:eastAsia="Arial" w:hAnsi="Arial"/>
                <w:sz w:val="18"/>
                <w:szCs w:val="18"/>
                <w:color w:val="auto"/>
              </w:rPr>
              <w:t>Net loss attributable to holders of Ordinary shares</w:t>
            </w:r>
          </w:p>
        </w:tc>
        <w:tc>
          <w:tcPr>
            <w:tcW w:w="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tcBorders>
              <w:top w:val="single" w:sz="8" w:color="CCFFCC"/>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Net basic and diluted loss per share</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(0.15</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(0.13</w:t>
            </w:r>
          </w:p>
        </w:tc>
        <w:tc>
          <w:tcPr>
            <w:tcW w:w="8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w w:val="89"/>
              </w:rPr>
              <w:t>Weighted average number of Ordinary shares used in computing basic and diluted net loss per share</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9,016,628</w:t>
            </w:r>
          </w:p>
        </w:tc>
        <w:tc>
          <w:tcPr>
            <w:tcW w:w="14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7,791,785</w:t>
            </w:r>
          </w:p>
        </w:tc>
        <w:tc>
          <w:tcPr>
            <w:tcW w:w="140" w:type="dxa"/>
            <w:vAlign w:val="bottom"/>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8,397,070</w:t>
            </w:r>
          </w:p>
        </w:tc>
        <w:tc>
          <w:tcPr>
            <w:tcW w:w="1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7,791,785</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Pharma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620" w:type="dxa"/>
            <w:vAlign w:val="bottom"/>
            <w:gridSpan w:val="2"/>
          </w:tcPr>
          <w:p>
            <w:pPr>
              <w:jc w:val="right"/>
              <w:ind w:right="2500"/>
              <w:spacing w:after="0"/>
              <w:rPr>
                <w:sz w:val="20"/>
                <w:szCs w:val="20"/>
                <w:color w:val="auto"/>
              </w:rPr>
            </w:pPr>
            <w:r>
              <w:rPr>
                <w:rFonts w:ascii="Arial" w:cs="Arial" w:eastAsia="Arial" w:hAnsi="Arial"/>
                <w:sz w:val="18"/>
                <w:szCs w:val="18"/>
                <w:b w:val="1"/>
                <w:bCs w:val="1"/>
                <w:color w:val="auto"/>
              </w:rPr>
              <w:t>ASSETS</w:t>
            </w: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20"/>
                <w:szCs w:val="20"/>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4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Short-term deposits</w:t>
            </w:r>
          </w:p>
        </w:tc>
        <w:tc>
          <w:tcPr>
            <w:tcW w:w="4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Receivables and prepaid expenses</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current assets</w:t>
            </w:r>
          </w:p>
        </w:tc>
        <w:tc>
          <w:tcPr>
            <w:tcW w:w="44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Long-term assets:</w:t>
            </w:r>
          </w:p>
        </w:tc>
        <w:tc>
          <w:tcPr>
            <w:tcW w:w="4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Long-term deposit</w:t>
            </w: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 net</w:t>
            </w:r>
          </w:p>
        </w:tc>
        <w:tc>
          <w:tcPr>
            <w:tcW w:w="4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long-term assets</w:t>
            </w:r>
          </w:p>
        </w:tc>
        <w:tc>
          <w:tcPr>
            <w:tcW w:w="444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CCFFCC"/>
          </w:tcPr>
          <w:p>
            <w:pPr>
              <w:spacing w:after="0"/>
              <w:rPr>
                <w:sz w:val="18"/>
                <w:szCs w:val="18"/>
                <w:color w:val="auto"/>
              </w:rPr>
            </w:pPr>
          </w:p>
        </w:tc>
        <w:tc>
          <w:tcPr>
            <w:tcW w:w="4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4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Borders>
              <w:top w:val="single" w:sz="8" w:color="CCFFCC"/>
            </w:tcBorders>
            <w:shd w:val="clear" w:color="auto" w:fill="CCFFCC"/>
          </w:tcPr>
          <w:p>
            <w:pPr>
              <w:spacing w:after="0"/>
              <w:rPr>
                <w:sz w:val="17"/>
                <w:szCs w:val="17"/>
                <w:color w:val="auto"/>
              </w:rPr>
            </w:pPr>
          </w:p>
        </w:tc>
        <w:tc>
          <w:tcPr>
            <w:tcW w:w="444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auto"/>
            </w:tcBorders>
            <w:shd w:val="clear" w:color="auto" w:fill="CCFFCC"/>
          </w:tcPr>
          <w:p>
            <w:pPr>
              <w:spacing w:after="0"/>
              <w:rPr>
                <w:sz w:val="17"/>
                <w:szCs w:val="17"/>
                <w:color w:val="auto"/>
              </w:rPr>
            </w:pPr>
          </w:p>
        </w:tc>
        <w:tc>
          <w:tcPr>
            <w:tcW w:w="120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22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00" w:type="dxa"/>
            <w:vAlign w:val="bottom"/>
            <w:gridSpan w:val="2"/>
          </w:tcPr>
          <w:p>
            <w:pPr>
              <w:jc w:val="right"/>
              <w:ind w:right="2360"/>
              <w:spacing w:after="0"/>
              <w:rPr>
                <w:sz w:val="20"/>
                <w:szCs w:val="20"/>
                <w:color w:val="auto"/>
              </w:rPr>
            </w:pPr>
            <w:r>
              <w:rPr>
                <w:rFonts w:ascii="Arial" w:cs="Arial" w:eastAsia="Arial" w:hAnsi="Arial"/>
                <w:sz w:val="18"/>
                <w:szCs w:val="18"/>
                <w:b w:val="1"/>
                <w:bCs w:val="1"/>
                <w:color w:val="auto"/>
              </w:rPr>
              <w:t>LIABILITIES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100" w:type="dxa"/>
            <w:vAlign w:val="bottom"/>
            <w:gridSpan w:val="2"/>
          </w:tcPr>
          <w:p>
            <w:pPr>
              <w:jc w:val="right"/>
              <w:ind w:right="1960"/>
              <w:spacing w:after="0"/>
              <w:rPr>
                <w:sz w:val="20"/>
                <w:szCs w:val="20"/>
                <w:color w:val="auto"/>
              </w:rPr>
            </w:pPr>
            <w:r>
              <w:rPr>
                <w:rFonts w:ascii="Arial" w:cs="Arial" w:eastAsia="Arial" w:hAnsi="Arial"/>
                <w:sz w:val="18"/>
                <w:szCs w:val="18"/>
                <w:b w:val="1"/>
                <w:bCs w:val="1"/>
                <w:color w:val="auto"/>
              </w:rPr>
              <w:t>SHAREHOLDERS’ EQUITY</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4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Trade payables</w:t>
            </w:r>
          </w:p>
        </w:tc>
        <w:tc>
          <w:tcPr>
            <w:tcW w:w="5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accounts payable</w:t>
            </w:r>
          </w:p>
        </w:tc>
        <w:tc>
          <w:tcPr>
            <w:tcW w:w="4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current liabilities</w:t>
            </w:r>
          </w:p>
        </w:tc>
        <w:tc>
          <w:tcPr>
            <w:tcW w:w="46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4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 capital</w:t>
            </w:r>
          </w:p>
        </w:tc>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4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31,231</w:t>
            </w:r>
          </w:p>
        </w:tc>
        <w:tc>
          <w:tcPr>
            <w:tcW w:w="4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Retained earnings</w:t>
            </w:r>
          </w:p>
        </w:tc>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(9,902)</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FFCC"/>
            </w:tcBorders>
            <w:shd w:val="clear" w:color="auto" w:fill="CCFFCC"/>
          </w:tcPr>
          <w:p>
            <w:pPr>
              <w:spacing w:after="0"/>
              <w:rPr>
                <w:sz w:val="18"/>
                <w:szCs w:val="18"/>
                <w:color w:val="auto"/>
              </w:rPr>
            </w:pPr>
          </w:p>
        </w:tc>
        <w:tc>
          <w:tcPr>
            <w:tcW w:w="46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21,361</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Borders>
              <w:top w:val="single" w:sz="8" w:color="CCFFCC"/>
            </w:tcBorders>
            <w:shd w:val="clear" w:color="auto" w:fill="CCFFCC"/>
          </w:tcPr>
          <w:p>
            <w:pPr>
              <w:spacing w:after="0"/>
              <w:rPr>
                <w:sz w:val="18"/>
                <w:szCs w:val="18"/>
                <w:color w:val="auto"/>
              </w:rPr>
            </w:pPr>
          </w:p>
        </w:tc>
        <w:tc>
          <w:tcPr>
            <w:tcW w:w="46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21,704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Alcobra Pharma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Flow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Six Months Ended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June 30,</w:t>
            </w:r>
          </w:p>
        </w:tc>
        <w:tc>
          <w:tcPr>
            <w:tcW w:w="10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6"/>
              </w:rPr>
              <w:t>June 30,</w:t>
            </w:r>
          </w:p>
        </w:tc>
        <w:tc>
          <w:tcPr>
            <w:tcW w:w="6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2012</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(1,716)</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4"/>
              </w:rPr>
              <w:t>Adjustments to reconcile net income to net cash used in operating activities:</w:t>
            </w: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Gain from sale of property, plant and equipment</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Decrease (increase) in receivables and prepaid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trade payables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Increase in other accounts payable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Interest on convertible notes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203</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 base compensation</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6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top w:val="single" w:sz="8" w:color="CCFFCC"/>
            </w:tcBorders>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and equipment</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Decrease (increase) in long-term deposit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Investment in (proceeds from) short-term bank deposit</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(4,000)</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 (proceeds from) restricted bank deposit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6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(4,009)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(4,007)</w:t>
            </w:r>
          </w:p>
        </w:tc>
        <w:tc>
          <w:tcPr>
            <w:tcW w:w="2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974</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 capital upon initial public offering</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21,920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21,920</w:t>
            </w: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Proceeds from issuance of convertible notes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6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21,920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22,035</w:t>
            </w:r>
          </w:p>
        </w:tc>
        <w:tc>
          <w:tcPr>
            <w:tcW w:w="20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17,562</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17,496</w:t>
            </w:r>
          </w:p>
        </w:tc>
        <w:tc>
          <w:tcPr>
            <w:tcW w:w="700" w:type="dxa"/>
            <w:vAlign w:val="bottom"/>
            <w:shd w:val="clear" w:color="auto" w:fill="CCFFCC"/>
          </w:tcPr>
          <w:p>
            <w:pPr>
              <w:spacing w:after="0"/>
              <w:rPr>
                <w:sz w:val="18"/>
                <w:szCs w:val="18"/>
                <w:color w:val="auto"/>
              </w:rPr>
            </w:pPr>
          </w:p>
        </w:tc>
        <w:tc>
          <w:tcPr>
            <w:tcW w:w="7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17,593</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17,593</w:t>
            </w:r>
          </w:p>
        </w:tc>
        <w:tc>
          <w:tcPr>
            <w:tcW w:w="7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4"/>
              </w:rPr>
              <w:t>Issuance of ordinary shares upon conversion of convertible notes</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979</w:t>
            </w:r>
          </w:p>
        </w:tc>
        <w:tc>
          <w:tcPr>
            <w:tcW w:w="7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2019-12-08T04:35:55Z</dcterms:created>
  <dcterms:modified xsi:type="dcterms:W3CDTF">2019-12-08T04:35:55Z</dcterms:modified>
</cp:coreProperties>
</file>