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OMB APPROVAL</w:t>
      </w:r>
    </w:p>
    <w:p>
      <w:pPr>
        <w:jc w:val="right"/>
        <w:spacing w:after="0" w:line="238" w:lineRule="auto"/>
        <w:rPr>
          <w:sz w:val="20"/>
          <w:szCs w:val="20"/>
          <w:color w:val="auto"/>
        </w:rPr>
      </w:pPr>
      <w:r>
        <w:rPr>
          <w:rFonts w:ascii="Arial" w:cs="Arial" w:eastAsia="Arial" w:hAnsi="Arial"/>
          <w:sz w:val="22"/>
          <w:szCs w:val="22"/>
          <w:color w:val="auto"/>
        </w:rPr>
        <w:t>OMB Number: 3235-0145</w:t>
      </w:r>
    </w:p>
    <w:p>
      <w:pPr>
        <w:ind w:left="6800"/>
        <w:spacing w:after="0"/>
        <w:rPr>
          <w:sz w:val="20"/>
          <w:szCs w:val="20"/>
          <w:color w:val="auto"/>
        </w:rPr>
      </w:pPr>
      <w:r>
        <w:rPr>
          <w:rFonts w:ascii="Arial" w:cs="Arial" w:eastAsia="Arial" w:hAnsi="Arial"/>
          <w:sz w:val="19"/>
          <w:szCs w:val="19"/>
          <w:color w:val="auto"/>
        </w:rPr>
        <w:t>Estimated average burden hours per response ….11</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(Amendment No. 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ARCTURUS THERAPEUTICS HOLDINGS, INC.</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03969T109</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2021</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431" w:lineRule="auto"/>
        <w:tabs>
          <w:tab w:leader="none" w:pos="2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-47625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-278765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-510540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4" w:lineRule="exact"/>
        <w:rPr>
          <w:sz w:val="24"/>
          <w:szCs w:val="24"/>
          <w:color w:val="auto"/>
        </w:rPr>
      </w:pPr>
    </w:p>
    <w:p>
      <w:pPr>
        <w:ind w:right="1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2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03969T109</w:t>
      </w:r>
    </w:p>
    <w:p>
      <w:pPr>
        <w:spacing w:after="0" w:line="220" w:lineRule="exact"/>
        <w:rPr>
          <w:sz w:val="20"/>
          <w:szCs w:val="20"/>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61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 3,694,929</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 3,694,929</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3,694,929</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14.02%</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Voting Shares Irrevocable Trust</w:t>
      </w: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 3,694,929</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 3,694,929</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0139"/>
          </w:cols>
          <w:pgMar w:left="320" w:top="712" w:right="1440" w:bottom="0" w:gutter="0" w:footer="0" w:header="0"/>
        </w:sectPr>
      </w:pPr>
    </w:p>
    <w:bookmarkStart w:id="2" w:name="page3"/>
    <w:bookmarkEnd w:id="2"/>
    <w:p>
      <w:pPr>
        <w:spacing w:after="0" w:line="62" w:lineRule="exact"/>
        <w:rPr>
          <w:sz w:val="20"/>
          <w:szCs w:val="20"/>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3,694,929</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14.02%</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-1055370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5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Thomas R. Donahue</w:t>
      </w: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-2255520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3,694,929</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 3,694,929</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3,694,929</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14.02%</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-1055370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5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Rhodora J. Donahue</w:t>
      </w: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-2255520</wp:posOffset>
            </wp:positionV>
            <wp:extent cx="538353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3,694,929</w:t>
            </w:r>
          </w:p>
        </w:tc>
      </w:tr>
      <w:tr>
        <w:trPr>
          <w:trHeight w:val="226"/>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32" w:right="1440" w:bottom="0" w:gutter="0" w:footer="0" w:header="0"/>
        </w:sectPr>
      </w:pPr>
    </w:p>
    <w:bookmarkStart w:id="3" w:name="page4"/>
    <w:bookmarkEnd w:id="3"/>
    <w:p>
      <w:pPr>
        <w:spacing w:after="0" w:line="68" w:lineRule="exact"/>
        <w:rPr>
          <w:sz w:val="20"/>
          <w:szCs w:val="20"/>
          <w:color w:val="auto"/>
        </w:rPr>
      </w:pPr>
    </w:p>
    <w:p>
      <w:pPr>
        <w:ind w:left="3300" w:hanging="938"/>
        <w:spacing w:after="0"/>
        <w:tabs>
          <w:tab w:leader="none" w:pos="3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20" w:lineRule="exact"/>
        <w:rPr>
          <w:rFonts w:ascii="Arial" w:cs="Arial" w:eastAsia="Arial" w:hAnsi="Arial"/>
          <w:sz w:val="22"/>
          <w:szCs w:val="22"/>
          <w:color w:val="auto"/>
        </w:rPr>
      </w:pPr>
    </w:p>
    <w:p>
      <w:pPr>
        <w:ind w:left="3300" w:hanging="938"/>
        <w:spacing w:after="0"/>
        <w:tabs>
          <w:tab w:leader="none" w:pos="3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Shared Dispositive Power: 3,694,929</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3,694,929</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Represented by Amount in Row (9): 14.02%</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-1946910</wp:posOffset>
            </wp:positionV>
            <wp:extent cx="58293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60007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55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J. Christopher Donahue</w:t>
      </w: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3,694,929</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 3,694,929</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3,694,929</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Represented by Amount in Row (9): 14.02%</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9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180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20" w:lineRule="exact"/>
        <w:rPr>
          <w:sz w:val="20"/>
          <w:szCs w:val="20"/>
          <w:color w:val="auto"/>
        </w:rPr>
      </w:pPr>
    </w:p>
    <w:p>
      <w:pPr>
        <w:ind w:left="1800" w:hanging="1098"/>
        <w:spacing w:after="0"/>
        <w:tabs>
          <w:tab w:leader="none" w:pos="1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19" w:lineRule="exact"/>
        <w:rPr>
          <w:rFonts w:ascii="Arial" w:cs="Arial" w:eastAsia="Arial" w:hAnsi="Arial"/>
          <w:sz w:val="22"/>
          <w:szCs w:val="22"/>
          <w:color w:val="auto"/>
        </w:rPr>
      </w:pPr>
    </w:p>
    <w:p>
      <w:pPr>
        <w:ind w:left="1800"/>
        <w:spacing w:after="0"/>
        <w:rPr>
          <w:rFonts w:ascii="Arial" w:cs="Arial" w:eastAsia="Arial" w:hAnsi="Arial"/>
          <w:sz w:val="22"/>
          <w:szCs w:val="22"/>
          <w:color w:val="auto"/>
        </w:rPr>
      </w:pPr>
      <w:r>
        <w:rPr>
          <w:rFonts w:ascii="Arial" w:cs="Arial" w:eastAsia="Arial" w:hAnsi="Arial"/>
          <w:sz w:val="22"/>
          <w:szCs w:val="22"/>
          <w:color w:val="auto"/>
        </w:rPr>
        <w:t>ARCTURUS THERAPEUTICS HOLDINGS, INC.</w:t>
      </w:r>
    </w:p>
    <w:p>
      <w:pPr>
        <w:spacing w:after="0" w:line="219" w:lineRule="exact"/>
        <w:rPr>
          <w:rFonts w:ascii="Arial" w:cs="Arial" w:eastAsia="Arial" w:hAnsi="Arial"/>
          <w:sz w:val="22"/>
          <w:szCs w:val="22"/>
          <w:color w:val="auto"/>
        </w:rPr>
      </w:pPr>
    </w:p>
    <w:p>
      <w:pPr>
        <w:ind w:left="1800" w:right="4179" w:hanging="1098"/>
        <w:spacing w:after="0" w:line="458" w:lineRule="auto"/>
        <w:tabs>
          <w:tab w:leader="none" w:pos="1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Address of Issuer’s Principal Executive Offices. 1400 Sierra Point Parkway, Bldg. C, Suite 200 Brisbane, CA 94005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-1513840</wp:posOffset>
            </wp:positionV>
            <wp:extent cx="5383530" cy="1508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19" w:lineRule="exact"/>
        <w:rPr>
          <w:rFonts w:ascii="Arial" w:cs="Arial" w:eastAsia="Arial" w:hAnsi="Arial"/>
          <w:sz w:val="22"/>
          <w:szCs w:val="22"/>
          <w:color w:val="auto"/>
        </w:rPr>
      </w:pPr>
    </w:p>
    <w:p>
      <w:pPr>
        <w:ind w:left="1800" w:hanging="1098"/>
        <w:spacing w:after="0"/>
        <w:tabs>
          <w:tab w:leader="none" w:pos="1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-455295</wp:posOffset>
            </wp:positionV>
            <wp:extent cx="5383530" cy="451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451485"/>
                    </a:xfrm>
                    <a:prstGeom prst="rect">
                      <a:avLst/>
                    </a:prstGeom>
                    <a:noFill/>
                  </pic:spPr>
                </pic:pic>
              </a:graphicData>
            </a:graphic>
          </wp:anchor>
        </w:drawing>
      </w:r>
    </w:p>
    <w:p>
      <w:pPr>
        <w:sectPr>
          <w:pgSz w:w="11900" w:h="16907" w:orient="portrait"/>
          <w:cols w:equalWidth="0" w:num="1">
            <w:col w:w="10139"/>
          </w:cols>
          <w:pgMar w:left="320" w:top="118"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4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3530" cy="164592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219" w:lineRule="exact"/>
        <w:rPr>
          <w:rFonts w:ascii="Arial" w:cs="Arial" w:eastAsia="Arial" w:hAnsi="Arial"/>
          <w:sz w:val="22"/>
          <w:szCs w:val="22"/>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CUSIP Number: 03969T109</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If this statement is filed pursuant to §§240.113d-1(b) or 240.13d-2(b) or (c), check whether the person filing is 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w w:val="89"/>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Bank as defined in section 3(a)(6) of the Act (15 U.S.C. 78c).</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93"/>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89"/>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5"/>
              </w:rPr>
              <w:t>Investment company registered under section 8 of the Investment Company Act of 1940 (15</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U.S.C. 80a-8).</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An investment adviser in accordance with §204.13d-1(b)(1)(ii)(E);</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8"/>
              </w:rPr>
              <w:t>An employee benefit plan or endowment fund in accordance with §240.13d-19b)(1)(ii)(F);</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 parent holding company or control person in accordance with §240.13d-1(b)(1)(ii)(G);</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89"/>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A savings associations as defined in Section 3(b) of the Federal Deposit Insurance Act (12 U.S.C.</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1813);</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A church plan that is excluded from the definition of an investment company under section 3(c)</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(14) of the Investment Company Act of 1940 (15 U.S.C. 80a-3);</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Group, in accordance with §240.13d-1(b)(1)(ii)(J).</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355"/>
        </w:trPr>
        <w:tc>
          <w:tcPr>
            <w:tcW w:w="960" w:type="dxa"/>
            <w:vAlign w:val="bottom"/>
            <w:gridSpan w:val="2"/>
          </w:tcPr>
          <w:p>
            <w:pPr>
              <w:spacing w:after="0"/>
              <w:rPr>
                <w:sz w:val="20"/>
                <w:szCs w:val="20"/>
                <w:color w:val="auto"/>
              </w:rPr>
            </w:pPr>
            <w:r>
              <w:rPr>
                <w:rFonts w:ascii="Arial" w:cs="Arial" w:eastAsia="Arial" w:hAnsi="Arial"/>
                <w:sz w:val="22"/>
                <w:szCs w:val="22"/>
                <w:color w:val="auto"/>
              </w:rPr>
              <w:t>Item 4.</w:t>
            </w:r>
          </w:p>
        </w:tc>
        <w:tc>
          <w:tcPr>
            <w:tcW w:w="1600" w:type="dxa"/>
            <w:vAlign w:val="bottom"/>
            <w:gridSpan w:val="2"/>
          </w:tcPr>
          <w:p>
            <w:pPr>
              <w:ind w:left="20"/>
              <w:spacing w:after="0"/>
              <w:rPr>
                <w:sz w:val="20"/>
                <w:szCs w:val="20"/>
                <w:color w:val="auto"/>
              </w:rPr>
            </w:pPr>
            <w:r>
              <w:rPr>
                <w:rFonts w:ascii="Arial" w:cs="Arial" w:eastAsia="Arial" w:hAnsi="Arial"/>
                <w:sz w:val="22"/>
                <w:szCs w:val="22"/>
                <w:color w:val="auto"/>
              </w:rPr>
              <w:t>Ownership</w:t>
            </w:r>
          </w:p>
        </w:tc>
        <w:tc>
          <w:tcPr>
            <w:tcW w:w="8680" w:type="dxa"/>
            <w:vAlign w:val="bottom"/>
          </w:tcPr>
          <w:p>
            <w:pPr>
              <w:spacing w:after="0"/>
              <w:rPr>
                <w:sz w:val="24"/>
                <w:szCs w:val="24"/>
                <w:color w:val="auto"/>
              </w:rPr>
            </w:pPr>
          </w:p>
        </w:tc>
      </w:tr>
    </w:tbl>
    <w:p>
      <w:pPr>
        <w:spacing w:after="0" w:line="77"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8" w:lineRule="exact"/>
        <w:rPr>
          <w:sz w:val="20"/>
          <w:szCs w:val="20"/>
          <w:color w:val="auto"/>
        </w:rPr>
      </w:pPr>
    </w:p>
    <w:tbl>
      <w:tblPr>
        <w:tblLayout w:type="fixed"/>
        <w:tblInd w:w="590" w:type="dxa"/>
        <w:tblCellMar>
          <w:top w:w="0" w:type="dxa"/>
          <w:left w:w="0" w:type="dxa"/>
          <w:bottom w:w="0" w:type="dxa"/>
          <w:right w:w="0" w:type="dxa"/>
        </w:tblCellMar>
      </w:tblPr>
      <w:tr>
        <w:trPr>
          <w:trHeight w:val="288"/>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Federated Hermes, Inc.</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14.02%</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Voting Shares Irrevocable Trust</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14.02%</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86"/>
        </w:trPr>
        <w:tc>
          <w:tcPr>
            <w:tcW w:w="1120" w:type="dxa"/>
            <w:vAlign w:val="bottom"/>
            <w:tcBorders>
              <w:left w:val="single" w:sz="8" w:color="auto"/>
              <w:right w:val="single" w:sz="8" w:color="auto"/>
            </w:tcBorders>
          </w:tcPr>
          <w:p>
            <w:pPr>
              <w:spacing w:after="0"/>
              <w:rPr>
                <w:sz w:val="7"/>
                <w:szCs w:val="7"/>
                <w:color w:val="auto"/>
              </w:rPr>
            </w:pPr>
          </w:p>
        </w:tc>
        <w:tc>
          <w:tcPr>
            <w:tcW w:w="7380" w:type="dxa"/>
            <w:vAlign w:val="bottom"/>
            <w:tcBorders>
              <w:right w:val="single" w:sz="8" w:color="auto"/>
            </w:tcBorders>
          </w:tcPr>
          <w:p>
            <w:pPr>
              <w:spacing w:after="0"/>
              <w:rPr>
                <w:sz w:val="7"/>
                <w:szCs w:val="7"/>
                <w:color w:val="auto"/>
              </w:rPr>
            </w:pPr>
          </w:p>
        </w:tc>
      </w:tr>
    </w:tbl>
    <w:p>
      <w:pPr>
        <w:sectPr>
          <w:pgSz w:w="11900" w:h="16900" w:orient="portrait"/>
          <w:cols w:equalWidth="0" w:num="1">
            <w:col w:w="11220"/>
          </w:cols>
          <w:pgMar w:left="320" w:top="348" w:right="359" w:bottom="0" w:gutter="0" w:footer="0" w:header="0"/>
        </w:sectPr>
      </w:pPr>
    </w:p>
    <w:bookmarkStart w:id="5" w:name="page6"/>
    <w:bookmarkEnd w:id="5"/>
    <w:p>
      <w:pPr>
        <w:spacing w:after="0" w:line="1" w:lineRule="exact"/>
        <w:rPr>
          <w:sz w:val="20"/>
          <w:szCs w:val="20"/>
          <w:color w:val="auto"/>
        </w:rPr>
      </w:pPr>
    </w:p>
    <w:tbl>
      <w:tblPr>
        <w:tblLayout w:type="fixed"/>
        <w:tblInd w:w="590" w:type="dxa"/>
        <w:tblCellMar>
          <w:top w:w="0" w:type="dxa"/>
          <w:left w:w="0" w:type="dxa"/>
          <w:bottom w:w="0" w:type="dxa"/>
          <w:right w:w="0" w:type="dxa"/>
        </w:tblCellMar>
      </w:tblPr>
      <w:tr>
        <w:trPr>
          <w:trHeight w:val="81"/>
        </w:trPr>
        <w:tc>
          <w:tcPr>
            <w:tcW w:w="1120" w:type="dxa"/>
            <w:vAlign w:val="bottom"/>
            <w:tcBorders>
              <w:left w:val="single" w:sz="8" w:color="auto"/>
              <w:bottom w:val="single" w:sz="8" w:color="auto"/>
              <w:right w:val="single" w:sz="8" w:color="auto"/>
            </w:tcBorders>
          </w:tcPr>
          <w:p>
            <w:pPr>
              <w:spacing w:after="0"/>
              <w:rPr>
                <w:sz w:val="7"/>
                <w:szCs w:val="7"/>
                <w:color w:val="auto"/>
              </w:rPr>
            </w:pPr>
          </w:p>
        </w:tc>
        <w:tc>
          <w:tcPr>
            <w:tcW w:w="7380" w:type="dxa"/>
            <w:vAlign w:val="bottom"/>
            <w:tcBorders>
              <w:bottom w:val="single" w:sz="8" w:color="auto"/>
              <w:right w:val="single" w:sz="8" w:color="auto"/>
            </w:tcBorders>
          </w:tcPr>
          <w:p>
            <w:pPr>
              <w:spacing w:after="0"/>
              <w:rPr>
                <w:sz w:val="7"/>
                <w:szCs w:val="7"/>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14.02%</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Rhodora J.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14.02%</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14.02%</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3,694,929</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Instruction</w:t>
      </w:r>
      <w:r>
        <w:rPr>
          <w:rFonts w:ascii="Arial" w:cs="Arial" w:eastAsia="Arial" w:hAnsi="Arial"/>
          <w:sz w:val="22"/>
          <w:szCs w:val="22"/>
          <w:color w:val="auto"/>
        </w:rPr>
        <w:t>: Dissolution of a group requires a response to this item.</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9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Instruction: Dissolution of a group requires a response to this item.</w:t>
      </w:r>
    </w:p>
    <w:p>
      <w:pPr>
        <w:sectPr>
          <w:pgSz w:w="11900" w:h="16838" w:orient="portrait"/>
          <w:cols w:equalWidth="0" w:num="1">
            <w:col w:w="10460"/>
          </w:cols>
          <w:pgMar w:left="320" w:top="140" w:right="1119" w:bottom="0" w:gutter="0" w:footer="0" w:header="0"/>
        </w:sectPr>
      </w:pPr>
    </w:p>
    <w:bookmarkStart w:id="6" w:name="page7"/>
    <w:bookmarkEnd w:id="6"/>
    <w:p>
      <w:pPr>
        <w:spacing w:after="0" w:line="7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 NOT APPLICABLE</w:t>
      </w:r>
    </w:p>
    <w:p>
      <w:pPr>
        <w:spacing w:after="0" w:line="207" w:lineRule="exact"/>
        <w:rPr>
          <w:sz w:val="20"/>
          <w:szCs w:val="20"/>
          <w:color w:val="auto"/>
        </w:rPr>
      </w:pPr>
    </w:p>
    <w:p>
      <w:pPr>
        <w:ind w:left="980" w:right="440" w:hanging="971"/>
        <w:spacing w:after="0" w:line="250" w:lineRule="auto"/>
        <w:tabs>
          <w:tab w:leader="none" w:pos="96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See Exhibit “1” Attached</w:t>
      </w:r>
    </w:p>
    <w:p>
      <w:pPr>
        <w:spacing w:after="0" w:line="175" w:lineRule="exact"/>
        <w:rPr>
          <w:sz w:val="20"/>
          <w:szCs w:val="20"/>
          <w:color w:val="auto"/>
        </w:rPr>
      </w:pPr>
    </w:p>
    <w:p>
      <w:pPr>
        <w:ind w:right="3280"/>
        <w:spacing w:after="0" w:line="439" w:lineRule="auto"/>
        <w:rPr>
          <w:sz w:val="20"/>
          <w:szCs w:val="20"/>
          <w:color w:val="auto"/>
        </w:rPr>
      </w:pPr>
      <w:r>
        <w:rPr>
          <w:rFonts w:ascii="Arial" w:cs="Arial" w:eastAsia="Arial" w:hAnsi="Arial"/>
          <w:sz w:val="22"/>
          <w:szCs w:val="22"/>
          <w:color w:val="auto"/>
        </w:rPr>
        <w:t>Item 8. Identification and Classification of Members of the Group: NOT APPLICABLE Item 9. Notice of Dissolution of Group: NOT APPLICABLE Item 10. Certification</w:t>
      </w:r>
    </w:p>
    <w:p>
      <w:pPr>
        <w:spacing w:after="0" w:line="2" w:lineRule="exact"/>
        <w:rPr>
          <w:sz w:val="20"/>
          <w:szCs w:val="20"/>
          <w:color w:val="auto"/>
        </w:rPr>
      </w:pPr>
    </w:p>
    <w:p>
      <w:pPr>
        <w:ind w:left="1800" w:hanging="1098"/>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§240.13d-1(b);</w:t>
      </w:r>
    </w:p>
    <w:p>
      <w:pPr>
        <w:spacing w:after="0" w:line="219" w:lineRule="exact"/>
        <w:rPr>
          <w:rFonts w:ascii="Arial" w:cs="Arial" w:eastAsia="Arial" w:hAnsi="Arial"/>
          <w:sz w:val="22"/>
          <w:szCs w:val="22"/>
          <w:color w:val="auto"/>
        </w:rPr>
      </w:pPr>
    </w:p>
    <w:p>
      <w:pPr>
        <w:ind w:left="1800" w:right="100"/>
        <w:spacing w:after="0" w:line="236" w:lineRule="auto"/>
        <w:rPr>
          <w:rFonts w:ascii="Arial" w:cs="Arial" w:eastAsia="Arial" w:hAnsi="Arial"/>
          <w:sz w:val="22"/>
          <w:szCs w:val="22"/>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200" w:lineRule="exact"/>
        <w:rPr>
          <w:rFonts w:ascii="Arial" w:cs="Arial" w:eastAsia="Arial" w:hAnsi="Arial"/>
          <w:sz w:val="22"/>
          <w:szCs w:val="22"/>
          <w:color w:val="auto"/>
        </w:rPr>
      </w:pPr>
    </w:p>
    <w:p>
      <w:pPr>
        <w:ind w:left="1800" w:hanging="1098"/>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§204.13d-1(c):</w:t>
      </w:r>
    </w:p>
    <w:p>
      <w:pPr>
        <w:spacing w:after="0" w:line="219" w:lineRule="exact"/>
        <w:rPr>
          <w:rFonts w:ascii="Arial" w:cs="Arial" w:eastAsia="Arial" w:hAnsi="Arial"/>
          <w:sz w:val="22"/>
          <w:szCs w:val="22"/>
          <w:color w:val="auto"/>
        </w:rPr>
      </w:pPr>
    </w:p>
    <w:p>
      <w:pPr>
        <w:ind w:left="1800" w:right="540"/>
        <w:spacing w:after="0" w:line="252" w:lineRule="auto"/>
        <w:rPr>
          <w:rFonts w:ascii="Arial" w:cs="Arial" w:eastAsia="Arial" w:hAnsi="Arial"/>
          <w:sz w:val="22"/>
          <w:szCs w:val="22"/>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-2155825</wp:posOffset>
            </wp:positionV>
            <wp:extent cx="6755130" cy="2288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Rhodora J. Donahue, individually and as Trust of Voting Shares Irrevocable Trust, by J. Christopher</w:t>
            </w: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916" w:orient="portrait"/>
          <w:cols w:equalWidth="0" w:num="1">
            <w:col w:w="11220"/>
          </w:cols>
          <w:pgMar w:left="320" w:top="118" w:right="359" w:bottom="0" w:gutter="0" w:footer="0" w:header="0"/>
        </w:sectPr>
      </w:pPr>
    </w:p>
    <w:bookmarkStart w:id="7" w:name="page8"/>
    <w:bookmarkEnd w:id="7"/>
    <w:p>
      <w:pPr>
        <w:ind w:right="200"/>
        <w:spacing w:after="0" w:line="251" w:lineRule="auto"/>
        <w:rPr>
          <w:sz w:val="20"/>
          <w:szCs w:val="20"/>
          <w:color w:val="auto"/>
        </w:rPr>
      </w:pPr>
      <w:r>
        <w:rPr>
          <w:rFonts w:ascii="Arial" w:cs="Arial" w:eastAsia="Arial" w:hAnsi="Arial"/>
          <w:sz w:val="22"/>
          <w:szCs w:val="22"/>
          <w:color w:val="auto"/>
        </w:rPr>
        <w:t>incorporated by reference. The name and any title of each person who signs the statement shall be typed or printed beneath his signature.</w:t>
      </w:r>
    </w:p>
    <w:p>
      <w:pPr>
        <w:spacing w:after="0" w:line="17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§240.13d-7 for other parties for whom copies are to be sent.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U.S.C. 1001)</w:t>
      </w:r>
    </w:p>
    <w:p>
      <w:pPr>
        <w:sectPr>
          <w:pgSz w:w="11900" w:h="16838" w:orient="portrait"/>
          <w:cols w:equalWidth="0" w:num="1">
            <w:col w:w="11140"/>
          </w:cols>
          <w:pgMar w:left="320" w:top="118"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Identity and Classification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3926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3840" w:type="dxa"/>
            <w:vAlign w:val="bottom"/>
            <w:tcBorders>
              <w:top w:val="single" w:sz="8" w:color="auto"/>
            </w:tcBorders>
          </w:tcPr>
          <w:p>
            <w:pPr>
              <w:ind w:left="1460"/>
              <w:spacing w:after="0"/>
              <w:rPr>
                <w:sz w:val="20"/>
                <w:szCs w:val="20"/>
                <w:color w:val="auto"/>
              </w:rPr>
            </w:pPr>
            <w:r>
              <w:rPr>
                <w:rFonts w:ascii="Arial" w:cs="Arial" w:eastAsia="Arial" w:hAnsi="Arial"/>
                <w:sz w:val="22"/>
                <w:szCs w:val="22"/>
                <w:color w:val="auto"/>
              </w:rPr>
              <w:t>IDENTITY</w:t>
            </w:r>
          </w:p>
        </w:tc>
        <w:tc>
          <w:tcPr>
            <w:tcW w:w="7400" w:type="dxa"/>
            <w:vAlign w:val="bottom"/>
            <w:tcBorders>
              <w:top w:val="single" w:sz="8" w:color="auto"/>
            </w:tcBorders>
          </w:tcPr>
          <w:p>
            <w:pPr>
              <w:ind w:left="2100"/>
              <w:spacing w:after="0"/>
              <w:rPr>
                <w:sz w:val="20"/>
                <w:szCs w:val="20"/>
                <w:color w:val="auto"/>
              </w:rPr>
            </w:pPr>
            <w:r>
              <w:rPr>
                <w:rFonts w:ascii="Arial" w:cs="Arial" w:eastAsia="Arial" w:hAnsi="Arial"/>
                <w:sz w:val="22"/>
                <w:szCs w:val="22"/>
                <w:color w:val="auto"/>
              </w:rPr>
              <w:t>CLASSIFICATION UNDER ITEM 3</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Hermes Equity Funds</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(d) Investment company registered under Section 8 of the Investment Company</w:t>
            </w:r>
          </w:p>
        </w:tc>
      </w:tr>
      <w:tr>
        <w:trPr>
          <w:trHeight w:val="274"/>
        </w:trPr>
        <w:tc>
          <w:tcPr>
            <w:tcW w:w="384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 (15 U.S.C. 80a-8)</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Hermes Insurance Series</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(d) Investment company registered under Section 8 of the Investment Company</w:t>
            </w:r>
          </w:p>
        </w:tc>
      </w:tr>
      <w:tr>
        <w:trPr>
          <w:trHeight w:val="274"/>
        </w:trPr>
        <w:tc>
          <w:tcPr>
            <w:tcW w:w="384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 (15 U.S.C. 80a-8)</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w w:val="91"/>
              </w:rPr>
              <w:t>Federated Equity Management Company</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(e) Investment Adviser registered under Section 203 of the Investment Advisers</w:t>
            </w:r>
          </w:p>
        </w:tc>
      </w:tr>
      <w:tr>
        <w:trPr>
          <w:trHeight w:val="274"/>
        </w:trPr>
        <w:tc>
          <w:tcPr>
            <w:tcW w:w="3840" w:type="dxa"/>
            <w:vAlign w:val="bottom"/>
          </w:tcPr>
          <w:p>
            <w:pPr>
              <w:ind w:left="120"/>
              <w:spacing w:after="0"/>
              <w:rPr>
                <w:sz w:val="20"/>
                <w:szCs w:val="20"/>
                <w:color w:val="auto"/>
              </w:rPr>
            </w:pPr>
            <w:r>
              <w:rPr>
                <w:rFonts w:ascii="Arial" w:cs="Arial" w:eastAsia="Arial" w:hAnsi="Arial"/>
                <w:sz w:val="22"/>
                <w:szCs w:val="22"/>
                <w:color w:val="auto"/>
              </w:rPr>
              <w:t>of Pennsylvania</w:t>
            </w: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Global Investment</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(e) Investment Adviser registered under Section 203 of the Investment Advisers</w:t>
            </w:r>
          </w:p>
        </w:tc>
      </w:tr>
      <w:tr>
        <w:trPr>
          <w:trHeight w:val="274"/>
        </w:trPr>
        <w:tc>
          <w:tcPr>
            <w:tcW w:w="3840" w:type="dxa"/>
            <w:vAlign w:val="bottom"/>
          </w:tcPr>
          <w:p>
            <w:pPr>
              <w:ind w:left="120"/>
              <w:spacing w:after="0"/>
              <w:rPr>
                <w:sz w:val="20"/>
                <w:szCs w:val="20"/>
                <w:color w:val="auto"/>
              </w:rPr>
            </w:pPr>
            <w:r>
              <w:rPr>
                <w:rFonts w:ascii="Arial" w:cs="Arial" w:eastAsia="Arial" w:hAnsi="Arial"/>
                <w:sz w:val="22"/>
                <w:szCs w:val="22"/>
                <w:color w:val="auto"/>
              </w:rPr>
              <w:t>Management Corp.</w:t>
            </w: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Federated Hermes, Inc.</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FII Holdings, Inc.</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Voting Shares Irrevocable Trust</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Thomas R. Donahue</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Rhodora J. Donahue</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J. Christopher Donahue</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bl>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ARCTURUS THERAPEUTICS HOLDINGS,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12"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color w:val="auto"/>
        </w:rPr>
        <w:t>EXHIBIT “2”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AGREEMENT FOR JOINT FILING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13G</w:t>
      </w:r>
    </w:p>
    <w:p>
      <w:pPr>
        <w:spacing w:after="0" w:line="206"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86" w:lineRule="exact"/>
        <w:rPr>
          <w:sz w:val="20"/>
          <w:szCs w:val="20"/>
          <w:color w:val="auto"/>
        </w:rPr>
      </w:pPr>
    </w:p>
    <w:p>
      <w:pPr>
        <w:ind w:right="200" w:firstLine="656"/>
        <w:spacing w:after="0" w:line="250" w:lineRule="auto"/>
        <w:tabs>
          <w:tab w:leader="none" w:pos="11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Federated Hermes, Inc. as parent holding company of the investment advisers to registered investment companies that beneficially own the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 individually and as Trustee</w:t>
      </w:r>
    </w:p>
    <w:p>
      <w:pPr>
        <w:spacing w:after="0" w:line="206"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10, 2022</w:t>
      </w:r>
    </w:p>
    <w:p>
      <w:pPr>
        <w:spacing w:after="0" w:line="207"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Trustee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Rhodora J. Donahue, individually and as Trustee as Voting Shares Irrevocable Trust, by J. Christopher</w:t>
            </w: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Trustee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20" w:firstLine="8"/>
        <w:spacing w:after="0" w:line="274" w:lineRule="auto"/>
        <w:tabs>
          <w:tab w:leader="none" w:pos="536"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20"/>
          </w:cols>
          <w:pgMar w:left="320" w:top="685" w:right="359" w:bottom="221"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5391785" cy="7071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91785"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“3”</w:t>
      </w:r>
    </w:p>
    <w:p>
      <w:pPr>
        <w:sectPr>
          <w:pgSz w:w="11900" w:h="16838" w:orient="portrait"/>
          <w:cols w:equalWidth="0" w:num="1">
            <w:col w:w="9019"/>
          </w:cols>
          <w:pgMar w:left="1440" w:top="928"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6900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9"/>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lvl w:ilvl="1">
      <w:lvlJc w:val="left"/>
      <w:lvlText w:val="%2."/>
      <w:numFmt w:val="decimal"/>
      <w:start w:val="7"/>
    </w:lvl>
  </w:abstractNum>
  <w:abstractNum w:abstractNumId="9">
    <w:nsid w:val="DED7263"/>
    <w:multiLevelType w:val="hybridMultilevel"/>
    <w:lvl w:ilvl="0">
      <w:lvlJc w:val="left"/>
      <w:lvlText w:val="%1."/>
      <w:numFmt w:val="decimal"/>
      <w:start w:val="9"/>
    </w:lvl>
    <w:lvl w:ilvl="1">
      <w:lvlJc w:val="left"/>
      <w:lvlText w:val="%2"/>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2022-02-14T12:09:05Z</dcterms:created>
  <dcterms:modified xsi:type="dcterms:W3CDTF">2022-02-14T12:09:05Z</dcterms:modified>
</cp:coreProperties>
</file>