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12529"/>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Date of Report (Date of earliest event reported): August 7,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12529"/>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130"/>
              <w:spacing w:after="0"/>
              <w:rPr>
                <w:sz w:val="20"/>
                <w:szCs w:val="20"/>
                <w:color w:val="auto"/>
              </w:rPr>
            </w:pPr>
            <w:r>
              <w:rPr>
                <w:rFonts w:ascii="Arial" w:cs="Arial" w:eastAsia="Arial" w:hAnsi="Arial"/>
                <w:sz w:val="18"/>
                <w:szCs w:val="18"/>
                <w:b w:val="1"/>
                <w:bCs w:val="1"/>
                <w:color w:val="212529"/>
                <w:w w:val="90"/>
              </w:rPr>
              <w:t>10628 Science Center Drive, Suite 250</w:t>
            </w:r>
          </w:p>
        </w:tc>
        <w:tc>
          <w:tcPr>
            <w:tcW w:w="166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91"/>
              </w:rPr>
              <w:t>San Diego, California 92121</w:t>
            </w:r>
          </w:p>
        </w:tc>
        <w:tc>
          <w:tcPr>
            <w:tcW w:w="166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212529"/>
                <w:w w:val="88"/>
              </w:rPr>
              <w:t>(Address of principal executive offices)</w:t>
            </w:r>
          </w:p>
        </w:tc>
        <w:tc>
          <w:tcPr>
            <w:tcW w:w="166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89"/>
              </w:rPr>
              <w:t>Registrant’s telephone number, including area code: (858) 900-2660</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212529"/>
                <w:w w:val="90"/>
              </w:rPr>
              <w:t>Securities registered pursuant to Section 12(b) of the Act:</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212529"/>
        </w:rPr>
        <w:t xml:space="preserve">Emerging growth company </w:t>
      </w:r>
      <w:r>
        <w:rPr>
          <w:rFonts w:ascii="MS PGothic" w:cs="MS PGothic" w:eastAsia="MS PGothic" w:hAnsi="MS PGothic"/>
          <w:sz w:val="18"/>
          <w:szCs w:val="18"/>
          <w:color w:val="212529"/>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212529"/>
        </w:rPr>
        <w:t>On August 7, 2023, Arcturus Therapeutics Holdings Inc. (the “Company” or “Arcturus”) issued a press release, a copy of which is furnished herewith as Exhibit 99.1, announcing the Company’s financial results for the quarter ended June 30, 2023 and providing a corporate update (the “Press Release”).</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212529"/>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(the “Securities Act”).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Cautionary Note Regarding 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or the Press Release, are forward-looking statements, including those regarding strategy, future operations, the likelihood of success of the Company’s pipeline (including ARCT-032 and ARCT-810) and partnered programs (including the COVID-19 program partnered with CSL Seqirus), the potential of the Company’s platform technology to be meaningfully differentiated from other technologies, the anticipated timing and sharing of clinical data including from the Company’s ARCT-810 and ARCT-032 programs, the continued progress of the LUNAR-FLU program, the likelihood and timing of regulatory approvals of any products including ARCT-154 in Japan or anywhere else, the anticipated conduct of the ARCT-032 study in New Zealand, the likelihood that preclinical or clinical data will be predictive of future clinical results, the likelihood that the interim study results of the ARCT-154 Phase 3 booster vaccine study will be predictive of, or consistent with, the complete study results, the likelihood that a patent will issue from any patent application,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8.01 Other Events.</w:t>
      </w:r>
    </w:p>
    <w:p>
      <w:pPr>
        <w:spacing w:after="0" w:line="184" w:lineRule="exact"/>
        <w:rPr>
          <w:sz w:val="20"/>
          <w:szCs w:val="20"/>
          <w:color w:val="auto"/>
        </w:rPr>
      </w:pPr>
    </w:p>
    <w:p>
      <w:pPr>
        <w:ind w:right="240"/>
        <w:spacing w:after="0" w:line="231" w:lineRule="exact"/>
        <w:rPr>
          <w:sz w:val="20"/>
          <w:szCs w:val="20"/>
          <w:color w:val="auto"/>
        </w:rPr>
      </w:pPr>
      <w:r>
        <w:rPr>
          <w:rFonts w:ascii="Arial" w:cs="Arial" w:eastAsia="Arial" w:hAnsi="Arial"/>
          <w:sz w:val="18"/>
          <w:szCs w:val="18"/>
          <w:color w:val="212529"/>
        </w:rPr>
        <w:t xml:space="preserve">On December 23, 2022, the Company entered into the </w:t>
      </w:r>
      <w:r>
        <w:rPr>
          <w:rFonts w:ascii="Arial" w:cs="Arial" w:eastAsia="Arial" w:hAnsi="Arial"/>
          <w:sz w:val="18"/>
          <w:szCs w:val="18"/>
          <w:color w:val="000000"/>
        </w:rPr>
        <w:t>Controlled Equity Offering</w:t>
      </w:r>
      <w:r>
        <w:rPr>
          <w:rFonts w:ascii="MS PGothic" w:cs="MS PGothic" w:eastAsia="MS PGothic" w:hAnsi="MS PGothic"/>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Sales Agreement (the “Sales Agreement”)</w:t>
      </w:r>
      <w:r>
        <w:rPr>
          <w:rFonts w:ascii="Arial" w:cs="Arial" w:eastAsia="Arial" w:hAnsi="Arial"/>
          <w:sz w:val="18"/>
          <w:szCs w:val="18"/>
          <w:color w:val="212529"/>
        </w:rPr>
        <w:t xml:space="preserve"> with </w:t>
      </w:r>
      <w:r>
        <w:rPr>
          <w:rFonts w:ascii="Arial" w:cs="Arial" w:eastAsia="Arial" w:hAnsi="Arial"/>
          <w:sz w:val="18"/>
          <w:szCs w:val="18"/>
          <w:color w:val="000000"/>
        </w:rPr>
        <w:t>Cantor Fitzgerald &amp;</w:t>
      </w:r>
      <w:r>
        <w:rPr>
          <w:rFonts w:ascii="Arial" w:cs="Arial" w:eastAsia="Arial" w:hAnsi="Arial"/>
          <w:sz w:val="18"/>
          <w:szCs w:val="18"/>
          <w:color w:val="212529"/>
        </w:rPr>
        <w:t xml:space="preserve"> </w:t>
      </w:r>
      <w:r>
        <w:rPr>
          <w:rFonts w:ascii="Arial" w:cs="Arial" w:eastAsia="Arial" w:hAnsi="Arial"/>
          <w:sz w:val="18"/>
          <w:szCs w:val="18"/>
          <w:color w:val="000000"/>
        </w:rPr>
        <w:t xml:space="preserve">Co. and Wells Fargo Securities, LLC, </w:t>
      </w:r>
      <w:r>
        <w:rPr>
          <w:rFonts w:ascii="Arial" w:cs="Arial" w:eastAsia="Arial" w:hAnsi="Arial"/>
          <w:sz w:val="18"/>
          <w:szCs w:val="18"/>
          <w:color w:val="212529"/>
        </w:rPr>
        <w:t>as sales agents (each an “Agent” and together the “Agents”), to sell shares of the Company’s common stock, par</w:t>
      </w:r>
      <w:r>
        <w:rPr>
          <w:rFonts w:ascii="Arial" w:cs="Arial" w:eastAsia="Arial" w:hAnsi="Arial"/>
          <w:sz w:val="18"/>
          <w:szCs w:val="18"/>
          <w:color w:val="000000"/>
        </w:rPr>
        <w:t xml:space="preserve"> </w:t>
      </w:r>
      <w:r>
        <w:rPr>
          <w:rFonts w:ascii="Arial" w:cs="Arial" w:eastAsia="Arial" w:hAnsi="Arial"/>
          <w:sz w:val="18"/>
          <w:szCs w:val="18"/>
          <w:color w:val="212529"/>
        </w:rPr>
        <w:t>value $0.001, having an aggregate offering price of up to $200,000,000, from time to time, through an “at the market offering” as defined in Rule 415 under the Securities Act.</w:t>
      </w:r>
    </w:p>
    <w:p>
      <w:pPr>
        <w:spacing w:after="0" w:line="20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212529"/>
        </w:rPr>
        <w:t>On August 7, 2023, the Company entered into Amendment No. 1 (the “Amendment”) to the Sales Agreement</w:t>
      </w:r>
      <w:r>
        <w:rPr>
          <w:rFonts w:ascii="Arial" w:cs="Arial" w:eastAsia="Arial" w:hAnsi="Arial"/>
          <w:sz w:val="18"/>
          <w:szCs w:val="18"/>
          <w:color w:val="000000"/>
        </w:rPr>
        <w:t>, pursuant to which William Blair &amp;</w:t>
      </w:r>
      <w:r>
        <w:rPr>
          <w:rFonts w:ascii="Arial" w:cs="Arial" w:eastAsia="Arial" w:hAnsi="Arial"/>
          <w:sz w:val="18"/>
          <w:szCs w:val="18"/>
          <w:color w:val="212529"/>
        </w:rPr>
        <w:t xml:space="preserve"> </w:t>
      </w:r>
      <w:r>
        <w:rPr>
          <w:rFonts w:ascii="Arial" w:cs="Arial" w:eastAsia="Arial" w:hAnsi="Arial"/>
          <w:sz w:val="18"/>
          <w:szCs w:val="18"/>
          <w:color w:val="000000"/>
        </w:rPr>
        <w:t>Company, L.L.C. was added as an additional Agent under the Sales Agreement. The material terms and conditions of the Sales Agreement otherwise remain unchanged.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terms of the Amendment does not purport to be complete and is subject to, and qualified in its entirety by reference to, the Amendment, which is filed herewith as Exhibit 1.1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10440" w:type="dxa"/>
            <w:vAlign w:val="bottom"/>
            <w:gridSpan w:val="3"/>
          </w:tcPr>
          <w:p>
            <w:pPr>
              <w:spacing w:after="0" w:line="207" w:lineRule="exact"/>
              <w:rPr>
                <w:sz w:val="20"/>
                <w:szCs w:val="20"/>
                <w:color w:val="auto"/>
              </w:rPr>
            </w:pPr>
            <w:r>
              <w:rPr>
                <w:rFonts w:ascii="Arial" w:cs="Arial" w:eastAsia="Arial" w:hAnsi="Arial"/>
                <w:sz w:val="18"/>
                <w:szCs w:val="18"/>
                <w:color w:val="0000EE"/>
              </w:rPr>
              <w:t>Amendment No. 1 to Controlled Equity Offering</w:t>
            </w:r>
            <w:r>
              <w:rPr>
                <w:rFonts w:ascii="MS PGothic" w:cs="MS PGothic" w:eastAsia="MS PGothic" w:hAnsi="MS PGothic"/>
                <w:sz w:val="18"/>
                <w:szCs w:val="18"/>
                <w:color w:val="0000EE"/>
              </w:rPr>
              <w:t>℠</w:t>
            </w:r>
            <w:r>
              <w:rPr>
                <w:rFonts w:ascii="Arial" w:cs="Arial" w:eastAsia="Arial" w:hAnsi="Arial"/>
                <w:sz w:val="18"/>
                <w:szCs w:val="18"/>
                <w:color w:val="0000EE"/>
              </w:rPr>
              <w:t xml:space="preserve"> Sales Agreement</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2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Press Release dated August 7, 2023</w:t>
            </w:r>
          </w:p>
        </w:tc>
        <w:tc>
          <w:tcPr>
            <w:tcW w:w="2380" w:type="dxa"/>
            <w:vAlign w:val="bottom"/>
            <w:tcBorders>
              <w:top w:val="single" w:sz="8" w:color="0000EE"/>
            </w:tcBorders>
          </w:tcPr>
          <w:p>
            <w:pPr>
              <w:spacing w:after="0"/>
              <w:rPr>
                <w:sz w:val="17"/>
                <w:szCs w:val="17"/>
                <w:color w:val="auto"/>
              </w:rPr>
            </w:pPr>
          </w:p>
        </w:tc>
        <w:tc>
          <w:tcPr>
            <w:tcW w:w="550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3"/>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67"/>
        </w:trPr>
        <w:tc>
          <w:tcPr>
            <w:tcW w:w="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212529"/>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4" w:name="page5"/>
    <w:bookmarkEnd w:id="4"/>
    <w:p>
      <w:pPr>
        <w:jc w:val="center"/>
        <w:ind w:right="534"/>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AMENDMENT NO. 1 TO</w:t>
      </w:r>
    </w:p>
    <w:p>
      <w:pPr>
        <w:spacing w:after="0" w:line="4" w:lineRule="exact"/>
        <w:rPr>
          <w:sz w:val="20"/>
          <w:szCs w:val="20"/>
          <w:color w:val="auto"/>
        </w:rPr>
      </w:pPr>
    </w:p>
    <w:p>
      <w:pPr>
        <w:ind w:left="2586"/>
        <w:spacing w:after="0"/>
        <w:rPr>
          <w:sz w:val="20"/>
          <w:szCs w:val="20"/>
          <w:color w:val="auto"/>
        </w:rPr>
      </w:pPr>
      <w:r>
        <w:rPr>
          <w:rFonts w:ascii="Arial" w:cs="Arial" w:eastAsia="Arial" w:hAnsi="Arial"/>
          <w:sz w:val="18"/>
          <w:szCs w:val="18"/>
          <w:b w:val="1"/>
          <w:bCs w:val="1"/>
          <w:color w:val="auto"/>
        </w:rPr>
        <w:t>CONTROLLED EQUITY OFFERING</w:t>
      </w:r>
      <w:r>
        <w:rPr>
          <w:rFonts w:ascii="Arial" w:cs="Arial" w:eastAsia="Arial" w:hAnsi="Arial"/>
          <w:sz w:val="29"/>
          <w:szCs w:val="29"/>
          <w:b w:val="1"/>
          <w:bCs w:val="1"/>
          <w:color w:val="auto"/>
          <w:vertAlign w:val="superscript"/>
        </w:rPr>
        <w:t>SM</w:t>
      </w:r>
      <w:r>
        <w:rPr>
          <w:rFonts w:ascii="Arial" w:cs="Arial" w:eastAsia="Arial" w:hAnsi="Arial"/>
          <w:sz w:val="18"/>
          <w:szCs w:val="18"/>
          <w:b w:val="1"/>
          <w:bCs w:val="1"/>
          <w:color w:val="auto"/>
        </w:rPr>
        <w:t xml:space="preserve"> SALES AGREEMENT</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August 7, 2023</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jc w:val="center"/>
        <w:ind w:left="6" w:right="9180" w:hanging="6"/>
        <w:spacing w:after="0" w:line="323"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Park Avenue New York, NY 10022</w:t>
      </w:r>
    </w:p>
    <w:p>
      <w:pPr>
        <w:spacing w:after="0" w:line="1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30 Hudson Yards</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New York, New York 10001</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150 N. Riverside Plaza</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Ladies and Gentlemen:</w:t>
      </w:r>
    </w:p>
    <w:p>
      <w:pPr>
        <w:spacing w:after="0" w:line="229" w:lineRule="exact"/>
        <w:rPr>
          <w:sz w:val="20"/>
          <w:szCs w:val="20"/>
          <w:color w:val="auto"/>
        </w:rPr>
      </w:pPr>
    </w:p>
    <w:p>
      <w:pPr>
        <w:jc w:val="both"/>
        <w:ind w:left="6"/>
        <w:spacing w:after="0" w:line="272" w:lineRule="auto"/>
        <w:rPr>
          <w:sz w:val="20"/>
          <w:szCs w:val="20"/>
          <w:color w:val="auto"/>
        </w:rPr>
      </w:pPr>
      <w:r>
        <w:rPr>
          <w:rFonts w:ascii="Arial" w:cs="Arial" w:eastAsia="Arial" w:hAnsi="Arial"/>
          <w:sz w:val="16"/>
          <w:szCs w:val="16"/>
          <w:color w:val="auto"/>
        </w:rPr>
        <w:t>Reference is made to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dated December 23, 2022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Sales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by and among Arcturus Therapeutics Holdings Inc., a Delaware corporation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 Cantor Fitzgerald &amp; Co. (“</w:t>
      </w:r>
      <w:r>
        <w:rPr>
          <w:rFonts w:ascii="Arial" w:cs="Arial" w:eastAsia="Arial" w:hAnsi="Arial"/>
          <w:sz w:val="16"/>
          <w:szCs w:val="16"/>
          <w:b w:val="1"/>
          <w:bCs w:val="1"/>
          <w:u w:val="single" w:color="auto"/>
          <w:color w:val="auto"/>
        </w:rPr>
        <w:t>Cantor</w:t>
      </w:r>
      <w:r>
        <w:rPr>
          <w:rFonts w:ascii="Arial" w:cs="Arial" w:eastAsia="Arial" w:hAnsi="Arial"/>
          <w:sz w:val="16"/>
          <w:szCs w:val="16"/>
          <w:color w:val="auto"/>
        </w:rPr>
        <w:t>”) and Wells Fargo Securities, LLC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Wells Fargo</w:t>
      </w:r>
      <w:r>
        <w:rPr>
          <w:rFonts w:ascii="Arial" w:cs="Arial" w:eastAsia="Arial" w:hAnsi="Arial"/>
          <w:sz w:val="16"/>
          <w:szCs w:val="16"/>
          <w:b w:val="1"/>
          <w:bCs w:val="1"/>
          <w:color w:val="auto"/>
        </w:rPr>
        <w:t>”</w:t>
      </w:r>
      <w:r>
        <w:rPr>
          <w:rFonts w:ascii="Arial" w:cs="Arial" w:eastAsia="Arial" w:hAnsi="Arial"/>
          <w:sz w:val="16"/>
          <w:szCs w:val="16"/>
          <w:color w:val="auto"/>
        </w:rPr>
        <w:t xml:space="preserve"> and together with Cantor,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Existing Agents</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which the Company agreed, in its sole discretion, to issue and sell, from time to time, through the Existing Agents, up to $200,000,000 of shares of common stock, par value $0.001 per share, of the Company. All capitalized terms used in this Amendment No. 1 to the Sales Agreement (this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Amendment</w:t>
      </w:r>
      <w:r>
        <w:rPr>
          <w:rFonts w:ascii="Arial" w:cs="Arial" w:eastAsia="Arial" w:hAnsi="Arial"/>
          <w:sz w:val="16"/>
          <w:szCs w:val="16"/>
          <w:b w:val="1"/>
          <w:bCs w:val="1"/>
          <w:color w:val="auto"/>
        </w:rPr>
        <w:t>”</w:t>
      </w:r>
      <w:r>
        <w:rPr>
          <w:rFonts w:ascii="Arial" w:cs="Arial" w:eastAsia="Arial" w:hAnsi="Arial"/>
          <w:sz w:val="16"/>
          <w:szCs w:val="16"/>
          <w:color w:val="auto"/>
        </w:rPr>
        <w:t>) and not otherwise defined herein shall have the respective meanings assigned to such terms in the Sales Agreement. The Company and the Existing Agents hereby agree as follows:</w:t>
      </w:r>
    </w:p>
    <w:p>
      <w:pPr>
        <w:spacing w:after="0" w:line="181" w:lineRule="exact"/>
        <w:rPr>
          <w:sz w:val="20"/>
          <w:szCs w:val="20"/>
          <w:color w:val="auto"/>
        </w:rPr>
      </w:pPr>
    </w:p>
    <w:p>
      <w:pPr>
        <w:ind w:left="1146" w:hanging="984"/>
        <w:spacing w:after="0"/>
        <w:tabs>
          <w:tab w:leader="none" w:pos="114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the Sales Agreement</w:t>
      </w:r>
      <w:r>
        <w:rPr>
          <w:rFonts w:ascii="Arial" w:cs="Arial" w:eastAsia="Arial" w:hAnsi="Arial"/>
          <w:sz w:val="18"/>
          <w:szCs w:val="18"/>
          <w:color w:val="auto"/>
        </w:rPr>
        <w:t>. The Sales Agreement is amended as follows:</w:t>
      </w:r>
    </w:p>
    <w:p>
      <w:pPr>
        <w:spacing w:after="0" w:line="225" w:lineRule="exact"/>
        <w:rPr>
          <w:rFonts w:ascii="Arial" w:cs="Arial" w:eastAsia="Arial" w:hAnsi="Arial"/>
          <w:sz w:val="18"/>
          <w:szCs w:val="18"/>
          <w:color w:val="auto"/>
        </w:rPr>
      </w:pPr>
    </w:p>
    <w:p>
      <w:pPr>
        <w:jc w:val="both"/>
        <w:ind w:left="326" w:hanging="2"/>
        <w:spacing w:after="0" w:line="263" w:lineRule="auto"/>
        <w:tabs>
          <w:tab w:leader="none" w:pos="88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definitions of the terms “Agent” and “Agents” in the first sentence of the Sales Agreement are hereby amended to read as follows: “Cantor Fitzgerald &amp; Co., Wells Fargo Securities, LLC and William Blair &amp; Company, L.L.C. (each an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66" w:hanging="442"/>
        <w:spacing w:after="0"/>
        <w:tabs>
          <w:tab w:leader="none" w:pos="766"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Section 9(g) of the Sales Agreement is hereby amended and restated as follows:</w:t>
      </w:r>
    </w:p>
    <w:p>
      <w:pPr>
        <w:spacing w:after="0" w:line="225" w:lineRule="exact"/>
        <w:rPr>
          <w:rFonts w:ascii="Arial" w:cs="Arial" w:eastAsia="Arial" w:hAnsi="Arial"/>
          <w:sz w:val="18"/>
          <w:szCs w:val="18"/>
          <w:color w:val="auto"/>
        </w:rPr>
      </w:pPr>
    </w:p>
    <w:p>
      <w:pPr>
        <w:jc w:val="both"/>
        <w:ind w:left="806" w:firstLine="4"/>
        <w:spacing w:after="0" w:line="259" w:lineRule="auto"/>
        <w:tabs>
          <w:tab w:leader="none" w:pos="1393"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Agents’ Counsel Legal Opinion</w:t>
      </w:r>
      <w:r>
        <w:rPr>
          <w:rFonts w:ascii="Arial" w:cs="Arial" w:eastAsia="Arial" w:hAnsi="Arial"/>
          <w:sz w:val="18"/>
          <w:szCs w:val="18"/>
          <w:color w:val="auto"/>
        </w:rPr>
        <w:t xml:space="preserve">. The Agents shall have received from Paul Hastings LLP, counsel for the Agents, such opinion or opinions, on or before the date on which the delivery of the Company Counsel legal opinion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with respect to such matters as the Agents may reasonably require, and the Company shall have furnished to such counsel such documents as they may request to enable them to pass upon such matters.</w:t>
      </w:r>
    </w:p>
    <w:p>
      <w:pPr>
        <w:spacing w:after="0" w:line="186" w:lineRule="exact"/>
        <w:rPr>
          <w:rFonts w:ascii="Arial" w:cs="Arial" w:eastAsia="Arial" w:hAnsi="Arial"/>
          <w:sz w:val="18"/>
          <w:szCs w:val="18"/>
          <w:color w:val="auto"/>
        </w:rPr>
      </w:pPr>
    </w:p>
    <w:p>
      <w:pPr>
        <w:ind w:left="326" w:hanging="2"/>
        <w:spacing w:after="0" w:line="277" w:lineRule="auto"/>
        <w:tabs>
          <w:tab w:leader="none" w:pos="788"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Section 13 of the Sales Agreement is hereby amended to include the following subsection following Wells Fargo’s relevant information in such section:</w:t>
      </w:r>
    </w:p>
    <w:p>
      <w:pPr>
        <w:spacing w:after="0" w:line="170" w:lineRule="exact"/>
        <w:rPr>
          <w:sz w:val="20"/>
          <w:szCs w:val="20"/>
          <w:color w:val="auto"/>
        </w:rPr>
      </w:pPr>
    </w:p>
    <w:p>
      <w:pPr>
        <w:ind w:left="806"/>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806"/>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ind w:left="806"/>
        <w:spacing w:after="0"/>
        <w:rPr>
          <w:sz w:val="20"/>
          <w:szCs w:val="20"/>
          <w:color w:val="auto"/>
        </w:rPr>
      </w:pPr>
      <w:r>
        <w:rPr>
          <w:rFonts w:ascii="Arial" w:cs="Arial" w:eastAsia="Arial" w:hAnsi="Arial"/>
          <w:sz w:val="18"/>
          <w:szCs w:val="18"/>
          <w:color w:val="auto"/>
        </w:rPr>
        <w:t>150 N. Riverside Plaza</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806"/>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806"/>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806"/>
        <w:spacing w:after="0"/>
        <w:rPr>
          <w:sz w:val="20"/>
          <w:szCs w:val="20"/>
          <w:color w:val="auto"/>
        </w:rPr>
      </w:pPr>
      <w:r>
        <w:rPr>
          <w:rFonts w:ascii="Arial" w:cs="Arial" w:eastAsia="Arial" w:hAnsi="Arial"/>
          <w:sz w:val="18"/>
          <w:szCs w:val="18"/>
          <w:color w:val="auto"/>
        </w:rPr>
        <w:t>Paul Hastings LLP</w:t>
      </w:r>
    </w:p>
    <w:p>
      <w:pPr>
        <w:spacing w:after="0" w:line="23" w:lineRule="exact"/>
        <w:rPr>
          <w:sz w:val="20"/>
          <w:szCs w:val="20"/>
          <w:color w:val="auto"/>
        </w:rPr>
      </w:pPr>
    </w:p>
    <w:p>
      <w:pPr>
        <w:ind w:left="806"/>
        <w:spacing w:after="0"/>
        <w:rPr>
          <w:sz w:val="20"/>
          <w:szCs w:val="20"/>
          <w:color w:val="auto"/>
        </w:rPr>
      </w:pPr>
      <w:r>
        <w:rPr>
          <w:rFonts w:ascii="Arial" w:cs="Arial" w:eastAsia="Arial" w:hAnsi="Arial"/>
          <w:sz w:val="18"/>
          <w:szCs w:val="18"/>
          <w:color w:val="auto"/>
        </w:rPr>
        <w:t>MetLife Building</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Attention: Siavosh Salimi</w:t>
      </w:r>
    </w:p>
    <w:p>
      <w:pPr>
        <w:spacing w:after="0" w:line="9" w:lineRule="exact"/>
        <w:rPr>
          <w:sz w:val="20"/>
          <w:szCs w:val="20"/>
          <w:color w:val="auto"/>
        </w:rPr>
      </w:pPr>
    </w:p>
    <w:p>
      <w:pPr>
        <w:ind w:left="806"/>
        <w:spacing w:after="0"/>
        <w:rPr>
          <w:sz w:val="20"/>
          <w:szCs w:val="20"/>
          <w:color w:val="auto"/>
        </w:rPr>
      </w:pPr>
      <w:r>
        <w:rPr>
          <w:rFonts w:ascii="Arial" w:cs="Arial" w:eastAsia="Arial" w:hAnsi="Arial"/>
          <w:sz w:val="18"/>
          <w:szCs w:val="18"/>
          <w:color w:val="auto"/>
        </w:rPr>
        <w:t>Email: seosalimi@paulhastings.com”</w:t>
      </w:r>
    </w:p>
    <w:p>
      <w:pPr>
        <w:spacing w:after="0" w:line="211" w:lineRule="exact"/>
        <w:rPr>
          <w:sz w:val="20"/>
          <w:szCs w:val="20"/>
          <w:color w:val="auto"/>
        </w:rPr>
      </w:pPr>
    </w:p>
    <w:p>
      <w:pPr>
        <w:ind w:left="766" w:hanging="442"/>
        <w:spacing w:after="0"/>
        <w:tabs>
          <w:tab w:leader="none" w:pos="766"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 1 of the Sales Agreement is hereby amended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374650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6"/>
          </w:cols>
          <w:pgMar w:left="814" w:top="364" w:right="33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40" w:type="dxa"/>
            <w:vAlign w:val="bottom"/>
            <w:gridSpan w:val="3"/>
          </w:tcPr>
          <w:p>
            <w:pPr>
              <w:ind w:left="1640"/>
              <w:spacing w:after="0"/>
              <w:rPr>
                <w:sz w:val="20"/>
                <w:szCs w:val="20"/>
                <w:color w:val="auto"/>
              </w:rPr>
            </w:pPr>
            <w:r>
              <w:rPr>
                <w:rFonts w:ascii="Arial" w:cs="Arial" w:eastAsia="Arial" w:hAnsi="Arial"/>
                <w:sz w:val="18"/>
                <w:szCs w:val="18"/>
                <w:b w:val="1"/>
                <w:bCs w:val="1"/>
                <w:color w:val="auto"/>
              </w:rPr>
              <w:t>FORM OF PLACEMENT NOTICE</w:t>
            </w: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“From:</w:t>
            </w:r>
          </w:p>
        </w:tc>
        <w:tc>
          <w:tcPr>
            <w:tcW w:w="1320" w:type="dxa"/>
            <w:vAlign w:val="bottom"/>
          </w:tcPr>
          <w:p>
            <w:pPr>
              <w:ind w:left="4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7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160" w:type="dxa"/>
            <w:vAlign w:val="bottom"/>
            <w:gridSpan w:val="4"/>
          </w:tcPr>
          <w:p>
            <w:pPr>
              <w:ind w:left="440"/>
              <w:spacing w:after="0"/>
              <w:rPr>
                <w:sz w:val="20"/>
                <w:szCs w:val="20"/>
                <w:color w:val="auto"/>
              </w:rPr>
            </w:pPr>
            <w:r>
              <w:rPr>
                <w:rFonts w:ascii="Arial" w:cs="Arial" w:eastAsia="Arial" w:hAnsi="Arial"/>
                <w:sz w:val="18"/>
                <w:szCs w:val="18"/>
                <w:color w:val="auto"/>
              </w:rPr>
              <w:t>Arcturus Therapeutics Holdings Inc.</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Cc:</w:t>
            </w:r>
          </w:p>
        </w:tc>
        <w:tc>
          <w:tcPr>
            <w:tcW w:w="1320" w:type="dxa"/>
            <w:vAlign w:val="bottom"/>
          </w:tcPr>
          <w:p>
            <w:pPr>
              <w:ind w:left="4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To:</w:t>
            </w:r>
          </w:p>
        </w:tc>
        <w:tc>
          <w:tcPr>
            <w:tcW w:w="7160" w:type="dxa"/>
            <w:vAlign w:val="bottom"/>
            <w:gridSpan w:val="4"/>
          </w:tcPr>
          <w:p>
            <w:pPr>
              <w:ind w:left="440"/>
              <w:spacing w:after="0"/>
              <w:rPr>
                <w:sz w:val="20"/>
                <w:szCs w:val="20"/>
                <w:color w:val="auto"/>
              </w:rPr>
            </w:pPr>
            <w:r>
              <w:rPr>
                <w:rFonts w:ascii="Arial" w:cs="Arial" w:eastAsia="Arial" w:hAnsi="Arial"/>
                <w:sz w:val="18"/>
                <w:szCs w:val="18"/>
                <w:color w:val="auto"/>
                <w:w w:val="94"/>
              </w:rPr>
              <w:t>[Cantor Fitzgerald &amp; Co.] [Wells Fargo Securities, LLC] [William Blair &amp; Company, L.L.C.]</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Subject:</w:t>
            </w:r>
          </w:p>
        </w:tc>
        <w:tc>
          <w:tcPr>
            <w:tcW w:w="7160" w:type="dxa"/>
            <w:vAlign w:val="bottom"/>
            <w:gridSpan w:val="4"/>
          </w:tcPr>
          <w:p>
            <w:pPr>
              <w:ind w:left="440"/>
              <w:spacing w:after="0"/>
              <w:rPr>
                <w:sz w:val="20"/>
                <w:szCs w:val="20"/>
                <w:color w:val="auto"/>
              </w:rPr>
            </w:pPr>
            <w:r>
              <w:rPr>
                <w:rFonts w:ascii="Arial" w:cs="Arial" w:eastAsia="Arial" w:hAnsi="Arial"/>
                <w:sz w:val="18"/>
                <w:szCs w:val="18"/>
                <w:color w:val="auto"/>
              </w:rPr>
              <w:t>[Cantor Fitzgerald] [Wells Fargo Securities] [William Blair &amp; Company, L.L.C.]</w:t>
            </w:r>
          </w:p>
        </w:tc>
      </w:tr>
      <w:tr>
        <w:trPr>
          <w:trHeight w:val="230"/>
        </w:trPr>
        <w:tc>
          <w:tcPr>
            <w:tcW w:w="1020" w:type="dxa"/>
            <w:vAlign w:val="bottom"/>
          </w:tcPr>
          <w:p>
            <w:pPr>
              <w:spacing w:after="0"/>
              <w:rPr>
                <w:sz w:val="20"/>
                <w:szCs w:val="20"/>
                <w:color w:val="auto"/>
              </w:rPr>
            </w:pPr>
          </w:p>
        </w:tc>
        <w:tc>
          <w:tcPr>
            <w:tcW w:w="7160" w:type="dxa"/>
            <w:vAlign w:val="bottom"/>
            <w:gridSpan w:val="4"/>
          </w:tcPr>
          <w:p>
            <w:pPr>
              <w:ind w:left="440"/>
              <w:spacing w:after="0"/>
              <w:rPr>
                <w:sz w:val="20"/>
                <w:szCs w:val="20"/>
                <w:color w:val="auto"/>
              </w:rPr>
            </w:pPr>
            <w:r>
              <w:rPr>
                <w:rFonts w:ascii="Arial" w:cs="Arial" w:eastAsia="Arial" w:hAnsi="Arial"/>
                <w:sz w:val="18"/>
                <w:szCs w:val="18"/>
                <w:color w:val="auto"/>
              </w:rPr>
              <w:t>—At the Market Offering—Placement</w:t>
            </w:r>
          </w:p>
        </w:tc>
      </w:tr>
    </w:tbl>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6"/>
          <w:szCs w:val="16"/>
          <w:color w:val="auto"/>
        </w:rPr>
        <w:t>Pursuant to the terms and subject to the conditions contained in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dated December 23, 2022, as</w:t>
      </w:r>
    </w:p>
    <w:p>
      <w:pPr>
        <w:ind w:left="6" w:right="20"/>
        <w:spacing w:after="0" w:line="252" w:lineRule="auto"/>
        <w:rPr>
          <w:sz w:val="20"/>
          <w:szCs w:val="20"/>
          <w:color w:val="auto"/>
        </w:rPr>
      </w:pPr>
      <w:r>
        <w:rPr>
          <w:rFonts w:ascii="Arial" w:cs="Arial" w:eastAsia="Arial" w:hAnsi="Arial"/>
          <w:sz w:val="16"/>
          <w:szCs w:val="16"/>
          <w:color w:val="auto"/>
        </w:rPr>
        <w:t>amended by Amendment No. 1 to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dated August 7, 2023 (as amended, the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by and among Arcturus Therapeutics Holdings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Cantor Fitzgerald &amp; Co., Wells Fargo Securities, LLC, and William Blair &amp; Company, L.L.C., I hereby request on behalf of the Company that the Designated Agent (as defined in the Agreement) sell up to [●</w:t>
      </w:r>
    </w:p>
    <w:p>
      <w:pPr>
        <w:ind w:left="6" w:right="140" w:hanging="6"/>
        <w:spacing w:after="0" w:line="302" w:lineRule="auto"/>
        <w:tabs>
          <w:tab w:leader="none" w:pos="111"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shares of common stock, $0.001 par value per share, of the Company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xml:space="preserve">”), at a minimum market price of $[●] per share[;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 [●] Shares shall be sold in any one Trading Day (as such term is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the Agreement)]. Sales should begin [on the date of this Placement Notice] and end on [DATE] [until all Shares that are the subject of this Placement Notice are sold].”</w:t>
      </w:r>
    </w:p>
    <w:p>
      <w:pPr>
        <w:spacing w:after="0" w:line="155" w:lineRule="exact"/>
        <w:rPr>
          <w:sz w:val="20"/>
          <w:szCs w:val="20"/>
          <w:color w:val="auto"/>
        </w:rPr>
      </w:pPr>
    </w:p>
    <w:p>
      <w:pPr>
        <w:ind w:left="326" w:hanging="2"/>
        <w:spacing w:after="0" w:line="277" w:lineRule="auto"/>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Schedule 2 of the Sales Agreement is hereby amended to include the following subsections following Wells Fargo’s relevant information in such section:</w:t>
      </w:r>
    </w:p>
    <w:p>
      <w:pPr>
        <w:spacing w:after="0" w:line="170" w:lineRule="exact"/>
        <w:rPr>
          <w:sz w:val="20"/>
          <w:szCs w:val="20"/>
          <w:color w:val="auto"/>
        </w:rPr>
      </w:pPr>
    </w:p>
    <w:p>
      <w:pPr>
        <w:ind w:left="80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William Blair &amp; Company, L.L.C.</w:t>
      </w:r>
    </w:p>
    <w:p>
      <w:pPr>
        <w:spacing w:after="0" w:line="225" w:lineRule="exact"/>
        <w:rPr>
          <w:sz w:val="20"/>
          <w:szCs w:val="20"/>
          <w:color w:val="auto"/>
        </w:rPr>
      </w:pPr>
    </w:p>
    <w:p>
      <w:pPr>
        <w:ind w:left="806"/>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166"/>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Obligations Binding upon William Blair &amp; Company, L.L.C.</w:t>
      </w:r>
      <w:r>
        <w:rPr>
          <w:rFonts w:ascii="Arial" w:cs="Arial" w:eastAsia="Arial" w:hAnsi="Arial"/>
          <w:sz w:val="18"/>
          <w:szCs w:val="18"/>
          <w:color w:val="auto"/>
        </w:rPr>
        <w:t xml:space="preserve"> William Blair &amp; Company, L.L.C. hereby agrees to be bound by the terms of the Sales Agreement. William Blair &amp; Company, L.L.C. shall be considered to be an Agent under the Sales Agreement to the same extent as if it were a party to the Sales Agreement on the date of the execution thereof.</w:t>
      </w:r>
    </w:p>
    <w:p>
      <w:pPr>
        <w:spacing w:after="0" w:line="184" w:lineRule="exact"/>
        <w:rPr>
          <w:sz w:val="20"/>
          <w:szCs w:val="20"/>
          <w:color w:val="auto"/>
        </w:rPr>
      </w:pPr>
    </w:p>
    <w:p>
      <w:pPr>
        <w:jc w:val="both"/>
        <w:ind w:left="166"/>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The Company shall file a Prospectus Supplement pursuant to Rule 424(b) of the Securities Act reflecting the terms of this Amendment within two business days of the date hereof.</w:t>
      </w:r>
    </w:p>
    <w:p>
      <w:pPr>
        <w:spacing w:after="0" w:line="170" w:lineRule="exact"/>
        <w:rPr>
          <w:sz w:val="20"/>
          <w:szCs w:val="20"/>
          <w:color w:val="auto"/>
        </w:rPr>
      </w:pPr>
    </w:p>
    <w:p>
      <w:pPr>
        <w:jc w:val="both"/>
        <w:ind w:left="166"/>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Other Amendments; References to Agreement</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above, all the terms and provisions of the Sales Agreement shall continue in full force and effect. All references to the Sales Agreement in the Sales Agreement or in any other document executed or delivered in connection therewith shall, from the date hereof, be deemed a reference to the Sales Agreement as amended by this Amendment.</w:t>
      </w:r>
    </w:p>
    <w:p>
      <w:pPr>
        <w:spacing w:after="0" w:line="149" w:lineRule="exact"/>
        <w:rPr>
          <w:sz w:val="20"/>
          <w:szCs w:val="20"/>
          <w:color w:val="auto"/>
        </w:rPr>
      </w:pPr>
    </w:p>
    <w:p>
      <w:pPr>
        <w:jc w:val="both"/>
        <w:ind w:left="166"/>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 Delivery of an executed counterpart by one party to the other may be made by facsimile or email transmission</w:t>
      </w:r>
    </w:p>
    <w:p>
      <w:pPr>
        <w:spacing w:after="0" w:line="184" w:lineRule="exact"/>
        <w:rPr>
          <w:sz w:val="20"/>
          <w:szCs w:val="20"/>
          <w:color w:val="auto"/>
        </w:rPr>
      </w:pPr>
    </w:p>
    <w:p>
      <w:pPr>
        <w:jc w:val="both"/>
        <w:ind w:left="166"/>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internal laws of the State of New York without regard to the principles of conflicts of laws.</w:t>
      </w:r>
    </w:p>
    <w:p>
      <w:pPr>
        <w:spacing w:after="0" w:line="170" w:lineRule="exact"/>
        <w:rPr>
          <w:sz w:val="20"/>
          <w:szCs w:val="20"/>
          <w:color w:val="auto"/>
        </w:rPr>
      </w:pPr>
    </w:p>
    <w:p>
      <w:pPr>
        <w:jc w:val="center"/>
        <w:ind w:right="-5"/>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374650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6"/>
          </w:cols>
          <w:pgMar w:left="814" w:top="689" w:right="339" w:bottom="1440" w:gutter="0" w:footer="0" w:header="0"/>
        </w:sectPr>
      </w:pPr>
    </w:p>
    <w:bookmarkStart w:id="6" w:name="page7"/>
    <w:bookmarkEnd w:id="6"/>
    <w:p>
      <w:pPr>
        <w:jc w:val="both"/>
        <w:ind w:left="500"/>
        <w:spacing w:after="0" w:line="263" w:lineRule="auto"/>
        <w:rPr>
          <w:sz w:val="20"/>
          <w:szCs w:val="20"/>
          <w:color w:val="auto"/>
        </w:rPr>
      </w:pPr>
      <w:r>
        <w:rPr>
          <w:rFonts w:ascii="Arial" w:cs="Arial" w:eastAsia="Arial" w:hAnsi="Arial"/>
          <w:sz w:val="18"/>
          <w:szCs w:val="18"/>
          <w:color w:val="auto"/>
        </w:rPr>
        <w:t>If the foregoing correctly sets forth the understanding among the Company and each of the Agents, please so indicate in the space provided below for that purpose, whereupon this Amendment No. 1 to Sales Agreement and your acceptance shall constitute a binding agreement among the Company and each of the Agents.</w:t>
      </w:r>
    </w:p>
    <w:p>
      <w:pPr>
        <w:spacing w:after="0" w:line="18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Sameer Vasudev</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Sameer Vasudev</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Bohn</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David Bohn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 &amp;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Maletzky</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Steve Maletzky</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Head of Capital Markets</w:t>
            </w:r>
          </w:p>
        </w:tc>
      </w:tr>
    </w:tbl>
    <w:p>
      <w:pPr>
        <w:sectPr>
          <w:pgSz w:w="11900" w:h="16838" w:orient="portrait"/>
          <w:cols w:equalWidth="0" w:num="1">
            <w:col w:w="11240"/>
          </w:cols>
          <w:pgMar w:left="320" w:top="70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Arcturus Therapeutics Announces Second Quarter 2023 Financial Update and Pipeline Progress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ARCT-154 Phase 3 COVID-19 booster trial achieved primary endpoint demonstrating strong immune response and favorable safety profile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Meiji Seika Pharma submitted ARCT-154 New Drug Application in Japan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ARCT-154 booster clinical data demonstrate one-year durability across a panel of variants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Received FDA Fast Track Designation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Rare Pediatric Disease Designation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ARCT-810 for OTC deficiency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regulatory approval of ARCT-032 to proceed into a Phase 1b clinical study in CF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SAN DIEGO--(BUSINESS WIRE)--Aug. 7, 2023-- Arcturus Therapeutics Holdings Inc. (the “Company”, “Arcturus”, Nasdaq: ARCT), a global late-stage clinical messenger RNA medicines company focused on the development of infectious disease vaccines and opportunities within liver and respiratory rare diseases, today announced its financial results for the second quarter and six months ended June 30, 2023 and provided corporate updates.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“Arcturus has continued to achieve significant operational progress alongside our exclusive global vaccines partner CSL Seqirus, highlighted by the NDA submission of ARCT-154, for the COVID-19 primary series vaccine and booster, in Japan by CSL Seqirus’ partner Meiji Seika Pharma,” said Joseph Payne, President &amp; CEO of Arcturus Therapeutics. “As demonstrated by the recently published ARCT-154 Phase 3 head-to-head booster data versus Comirnaty®, we believe that our next generation STARR® mRNA platform is meaningfully differentiated. In addition to ARCT-154, we have also made significant progress with other clinical and pre-clinical mRNA therapeutic programs, and we look forward to sharing clinical data from our ARCT-810 and ARCT-032 programs later this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primary endpoint was achieved in the ARCT-154 Phase 3 booster vaccine study, demonstrating non-inferiority of immune response against SARS-CoV-2 ancestral strain compared to Comirnaty. Superiority of ARCT-154 in neutralizing antibody response against SARS-CoV-2 Omicron BA.4/5 variant was also demonstrated as a key secondary endpoint.</w:t>
      </w:r>
    </w:p>
    <w:p>
      <w:pPr>
        <w:spacing w:after="0" w:line="2" w:lineRule="exact"/>
        <w:rPr>
          <w:rFonts w:ascii="Arial" w:cs="Arial" w:eastAsia="Arial" w:hAnsi="Arial"/>
          <w:sz w:val="18"/>
          <w:szCs w:val="18"/>
          <w:color w:val="auto"/>
        </w:rPr>
      </w:pPr>
    </w:p>
    <w:p>
      <w:pPr>
        <w:ind w:left="1580" w:hanging="449"/>
        <w:spacing w:after="0" w:line="250" w:lineRule="auto"/>
        <w:rPr>
          <w:rFonts w:ascii="Arial" w:cs="Arial" w:eastAsia="Arial" w:hAnsi="Arial"/>
          <w:sz w:val="18"/>
          <w:szCs w:val="18"/>
          <w:color w:val="auto"/>
        </w:rPr>
      </w:pPr>
      <w:r>
        <w:rPr>
          <w:rFonts w:ascii="Arial" w:cs="Arial" w:eastAsia="Arial" w:hAnsi="Arial"/>
          <w:sz w:val="18"/>
          <w:szCs w:val="18"/>
          <w:color w:val="auto"/>
        </w:rPr>
        <w:t>oThe study compared immune responses between ARCT-154 and Comirnaty booster doses (original strain) in Japanese adults (N = 828 and randomized 1:1 to ARCT-154 and Comirnaty) that were previously immunized with two doses of mRNA COVID-19 vaccine then a third booster dose of Comirnaty at least 3 months prior to enrollment.</w:t>
      </w:r>
    </w:p>
    <w:p>
      <w:pPr>
        <w:spacing w:after="0" w:line="1" w:lineRule="exact"/>
        <w:rPr>
          <w:rFonts w:ascii="Arial" w:cs="Arial" w:eastAsia="Arial" w:hAnsi="Arial"/>
          <w:sz w:val="18"/>
          <w:szCs w:val="18"/>
          <w:color w:val="auto"/>
        </w:rPr>
      </w:pPr>
    </w:p>
    <w:p>
      <w:pPr>
        <w:ind w:left="1140"/>
        <w:spacing w:after="0" w:line="265" w:lineRule="auto"/>
        <w:rPr>
          <w:rFonts w:ascii="Arial" w:cs="Arial" w:eastAsia="Arial" w:hAnsi="Arial"/>
          <w:sz w:val="18"/>
          <w:szCs w:val="18"/>
          <w:color w:val="auto"/>
        </w:rPr>
      </w:pPr>
      <w:r>
        <w:rPr>
          <w:rFonts w:ascii="Arial" w:cs="Arial" w:eastAsia="Arial" w:hAnsi="Arial"/>
          <w:sz w:val="17"/>
          <w:szCs w:val="17"/>
          <w:color w:val="auto"/>
        </w:rPr>
        <w:t>o ARCT-154, a self-amplifying mRNA vaccine, was administered at 5 mcg, a significantly lower dose relative to Comirnaty (30 mcg). o Initial study results have been published in MedRxiv. The data suggests increased immunogenicity associated with ARCT-154 at Day</w:t>
      </w:r>
    </w:p>
    <w:p>
      <w:pPr>
        <w:ind w:left="1580"/>
        <w:spacing w:after="0"/>
        <w:rPr>
          <w:rFonts w:ascii="Arial" w:cs="Arial" w:eastAsia="Arial" w:hAnsi="Arial"/>
          <w:sz w:val="18"/>
          <w:szCs w:val="18"/>
          <w:color w:val="auto"/>
        </w:rPr>
      </w:pPr>
      <w:r>
        <w:rPr>
          <w:rFonts w:ascii="Arial" w:cs="Arial" w:eastAsia="Arial" w:hAnsi="Arial"/>
          <w:sz w:val="18"/>
          <w:szCs w:val="18"/>
          <w:color w:val="auto"/>
        </w:rPr>
        <w:t>29 with 1.43-fold higher geometric mean titers of neutralizing antibodies against the vaccine strain versus Comirnaty.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1248" w:hanging="449"/>
        <w:spacing w:after="0"/>
        <w:tabs>
          <w:tab w:leader="none" w:pos="1248"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the time of interim data cut, ARCT-154 was considered safe and tolerable with no safety concerns identified.</w:t>
      </w:r>
    </w:p>
    <w:p>
      <w:pPr>
        <w:spacing w:after="0" w:line="23" w:lineRule="exact"/>
        <w:rPr>
          <w:rFonts w:ascii="Arial" w:cs="Arial" w:eastAsia="Arial" w:hAnsi="Arial"/>
          <w:sz w:val="18"/>
          <w:szCs w:val="18"/>
          <w:color w:val="auto"/>
        </w:rPr>
      </w:pPr>
    </w:p>
    <w:p>
      <w:pPr>
        <w:ind w:left="1248" w:hanging="449"/>
        <w:spacing w:after="0"/>
        <w:tabs>
          <w:tab w:leader="none" w:pos="1248" w:val="left"/>
        </w:tabs>
        <w:numPr>
          <w:ilvl w:val="1"/>
          <w:numId w:val="8"/>
        </w:numPr>
        <w:rPr>
          <w:rFonts w:ascii="Arial" w:cs="Arial" w:eastAsia="Arial" w:hAnsi="Arial"/>
          <w:sz w:val="18"/>
          <w:szCs w:val="18"/>
          <w:color w:val="auto"/>
        </w:rPr>
      </w:pPr>
      <w:r>
        <w:rPr>
          <w:rFonts w:ascii="Arial" w:cs="Arial" w:eastAsia="Arial" w:hAnsi="Arial"/>
          <w:sz w:val="18"/>
          <w:szCs w:val="18"/>
          <w:color w:val="auto"/>
        </w:rPr>
        <w:t>Meiji Seika Pharma and the Japanese government provided funding for the ARCT-154 Phase 3 booster study.</w:t>
      </w:r>
    </w:p>
    <w:p>
      <w:pPr>
        <w:spacing w:after="0" w:line="9" w:lineRule="exact"/>
        <w:rPr>
          <w:rFonts w:ascii="Arial" w:cs="Arial" w:eastAsia="Arial" w:hAnsi="Arial"/>
          <w:sz w:val="18"/>
          <w:szCs w:val="18"/>
          <w:color w:val="auto"/>
        </w:rPr>
      </w:pPr>
    </w:p>
    <w:p>
      <w:pPr>
        <w:ind w:left="1248" w:hanging="449"/>
        <w:spacing w:after="0"/>
        <w:tabs>
          <w:tab w:leader="none" w:pos="1248" w:val="left"/>
        </w:tabs>
        <w:numPr>
          <w:ilvl w:val="1"/>
          <w:numId w:val="8"/>
        </w:numPr>
        <w:rPr>
          <w:rFonts w:ascii="Arial" w:cs="Arial" w:eastAsia="Arial" w:hAnsi="Arial"/>
          <w:sz w:val="17"/>
          <w:szCs w:val="17"/>
          <w:color w:val="auto"/>
        </w:rPr>
      </w:pPr>
      <w:r>
        <w:rPr>
          <w:rFonts w:ascii="Arial" w:cs="Arial" w:eastAsia="Arial" w:hAnsi="Arial"/>
          <w:sz w:val="17"/>
          <w:szCs w:val="17"/>
          <w:color w:val="auto"/>
        </w:rPr>
        <w:t>Meiji Seika Pharma is responsible for obtaining regulatory approval, distribution, sales and marketing of ARCT-154 in Japan.</w:t>
      </w:r>
    </w:p>
    <w:p>
      <w:pPr>
        <w:spacing w:after="0" w:line="20" w:lineRule="exact"/>
        <w:rPr>
          <w:rFonts w:ascii="Arial" w:cs="Arial" w:eastAsia="Arial" w:hAnsi="Arial"/>
          <w:sz w:val="17"/>
          <w:szCs w:val="17"/>
          <w:color w:val="auto"/>
        </w:rPr>
      </w:pPr>
    </w:p>
    <w:p>
      <w:pPr>
        <w:jc w:val="both"/>
        <w:ind w:left="1248" w:hanging="449"/>
        <w:spacing w:after="0" w:line="250" w:lineRule="auto"/>
        <w:tabs>
          <w:tab w:leader="none" w:pos="1248" w:val="left"/>
        </w:tabs>
        <w:numPr>
          <w:ilvl w:val="1"/>
          <w:numId w:val="8"/>
        </w:numPr>
        <w:rPr>
          <w:rFonts w:ascii="Arial" w:cs="Arial" w:eastAsia="Arial" w:hAnsi="Arial"/>
          <w:sz w:val="18"/>
          <w:szCs w:val="18"/>
          <w:color w:val="auto"/>
        </w:rPr>
      </w:pPr>
      <w:r>
        <w:rPr>
          <w:rFonts w:ascii="Arial" w:cs="Arial" w:eastAsia="Arial" w:hAnsi="Arial"/>
          <w:sz w:val="18"/>
          <w:szCs w:val="18"/>
          <w:color w:val="auto"/>
        </w:rPr>
        <w:t>Meiji Seika Pharma announced a collaboration with ARCALIS Co., Ltd. to establish integrated cGMP mRNA vaccine manufacturing capabilities, from drug substance to drug product, in Japan. ARCALIS recently announced that construction has been completed for their state-of-the-art manufacturing facility in Japan.</w:t>
      </w:r>
    </w:p>
    <w:p>
      <w:pPr>
        <w:spacing w:after="0" w:line="1"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Phase 1/2 clinical trial demonstrated one-year durability of immune response following ARCT-154 booster vaccine administration using validated microneutralization (MNT) assays. The geometric mean fold rise (GMFR) in neutralizing antibodies remained greater than 10-fold above baseline for one year across a panel of variants (ref: Figure), including Omicron BA.1.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129540</wp:posOffset>
            </wp:positionV>
            <wp:extent cx="580326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326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8" w:hanging="328"/>
        <w:spacing w:after="0" w:line="258"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LUNAR-FLU program continues to progress with funding and operational support from CSL Seqirus. LUNAR-FLU utilizes Arcturus’ validated next generation STARR® mRNA platform.</w:t>
      </w:r>
    </w:p>
    <w:p>
      <w:pPr>
        <w:spacing w:after="0" w:line="1" w:lineRule="exact"/>
        <w:rPr>
          <w:rFonts w:ascii="Arial" w:cs="Arial" w:eastAsia="Arial" w:hAnsi="Arial"/>
          <w:sz w:val="18"/>
          <w:szCs w:val="18"/>
          <w:color w:val="auto"/>
        </w:rPr>
      </w:pPr>
    </w:p>
    <w:p>
      <w:pPr>
        <w:jc w:val="both"/>
        <w:ind w:left="328" w:hanging="328"/>
        <w:spacing w:after="0" w:line="281" w:lineRule="auto"/>
        <w:tabs>
          <w:tab w:leader="none" w:pos="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June, the Company announced that the U.S. Food and Drug Administration (FDA) had granted Fast Track Designation to ARCT-810, the Company’s mRNA therapeutic candidate for ornithine transcarbamylase (OTC) deficiency. The Company has also recently received Rare Pediatric Disease Designation from the FDA for ARCT-810, which is designed to recognize serious or life-threatening manifestations primarily affecting patients under 18 years of age. Due to such designation, if ARCT-810 achieves approval for a pediatric indication in the original rare pediatric disease product application, Arcturus will receive a voucher for priority review of a subsequent marketing application for a different product.</w:t>
      </w:r>
    </w:p>
    <w:p>
      <w:pPr>
        <w:spacing w:after="0" w:line="2" w:lineRule="exact"/>
        <w:rPr>
          <w:rFonts w:ascii="Arial" w:cs="Arial" w:eastAsia="Arial" w:hAnsi="Arial"/>
          <w:sz w:val="16"/>
          <w:szCs w:val="16"/>
          <w:color w:val="auto"/>
        </w:rPr>
      </w:pPr>
    </w:p>
    <w:p>
      <w:pPr>
        <w:ind w:left="808"/>
        <w:spacing w:after="0"/>
        <w:rPr>
          <w:rFonts w:ascii="Arial" w:cs="Arial" w:eastAsia="Arial" w:hAnsi="Arial"/>
          <w:sz w:val="16"/>
          <w:szCs w:val="16"/>
          <w:color w:val="auto"/>
        </w:rPr>
      </w:pPr>
      <w:r>
        <w:rPr>
          <w:rFonts w:ascii="Arial" w:cs="Arial" w:eastAsia="Arial" w:hAnsi="Arial"/>
          <w:sz w:val="18"/>
          <w:szCs w:val="18"/>
          <w:color w:val="auto"/>
        </w:rPr>
        <w:t>o</w:t>
      </w:r>
      <w:r>
        <w:rPr>
          <w:rFonts w:ascii="Arial" w:cs="Arial" w:eastAsia="Arial" w:hAnsi="Arial"/>
          <w:sz w:val="16"/>
          <w:szCs w:val="16"/>
          <w:color w:val="auto"/>
        </w:rPr>
        <w:t>ARCT-810 Phase 1b single ascending dose study in the U.S. has completed enrollment and dosing of all cohorts (N = 16 patients).</w:t>
      </w:r>
    </w:p>
    <w:p>
      <w:pPr>
        <w:spacing w:after="0" w:line="9" w:lineRule="exact"/>
        <w:rPr>
          <w:rFonts w:ascii="Arial" w:cs="Arial" w:eastAsia="Arial" w:hAnsi="Arial"/>
          <w:sz w:val="16"/>
          <w:szCs w:val="16"/>
          <w:color w:val="auto"/>
        </w:rPr>
      </w:pPr>
    </w:p>
    <w:p>
      <w:pPr>
        <w:ind w:left="1248" w:hanging="449"/>
        <w:spacing w:after="0" w:line="250" w:lineRule="auto"/>
        <w:rPr>
          <w:rFonts w:ascii="Arial" w:cs="Arial" w:eastAsia="Arial" w:hAnsi="Arial"/>
          <w:sz w:val="16"/>
          <w:szCs w:val="16"/>
          <w:color w:val="auto"/>
        </w:rPr>
      </w:pPr>
      <w:r>
        <w:rPr>
          <w:rFonts w:ascii="Arial" w:cs="Arial" w:eastAsia="Arial" w:hAnsi="Arial"/>
          <w:sz w:val="18"/>
          <w:szCs w:val="18"/>
          <w:color w:val="auto"/>
        </w:rPr>
        <w:t>oARCT-810 Phase 2 study in UK and Europe will enroll up to 24 adolescents and adults with OTC deficiency. The ongoing study is evaluating two dose levels and includes up to six (6) bi-weekly administrations for each participant. The Company expects to share interim data on biological activity from a subset of patients in the coming months.</w:t>
      </w:r>
    </w:p>
    <w:p>
      <w:pPr>
        <w:spacing w:after="0" w:line="1" w:lineRule="exact"/>
        <w:rPr>
          <w:rFonts w:ascii="Arial" w:cs="Arial" w:eastAsia="Arial" w:hAnsi="Arial"/>
          <w:sz w:val="16"/>
          <w:szCs w:val="16"/>
          <w:color w:val="auto"/>
        </w:rPr>
      </w:pPr>
    </w:p>
    <w:p>
      <w:pPr>
        <w:jc w:val="both"/>
        <w:ind w:left="328" w:hanging="328"/>
        <w:spacing w:after="0" w:line="255"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ARCT-032, the Company’s inhaled mRNA therapeutic for cystic fibrosis, has completed dosing in a Phase 1 study in New Zealand, including 32 subjects across four (4) ascending single-dose cohorts. The Company received regulatory approval of a protocol amendment to allow the transition to a Phase 1b clinical study of ARCT-032 in up to 8 adult cystic fibrosis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352425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Financial Results for the Three and Six Months Ended June 30, 2023</w:t>
      </w: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in conjunction with strategic alliances and collaborations</w:t>
      </w:r>
      <w:r>
        <w:rPr>
          <w:rFonts w:ascii="Arial" w:cs="Arial" w:eastAsia="Arial" w:hAnsi="Arial"/>
          <w:sz w:val="18"/>
          <w:szCs w:val="18"/>
          <w:color w:val="auto"/>
        </w:rPr>
        <w:t>:</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Arcturus’ primary sources of revenues were from license fees, consulting and related technology transfer fees, reservation fees and collaborative payments received from research and development arrangements with pharmaceutical and biotechnology partners. For the three months ended June 30, 2023, we reported revenue of $10.5 million compared with $27.1 million for the three months ended June 30, 2022. Revenue decreased by $16.6 million during the three months ended June 30, 2023 as compared to the prior year period. The decrease was primarily attributable to a decrease in revenue of $12.7 million related to the termination of the agreement with Vinbiocare and a decrease in revenue of $12.5 million related to the agreement with the Israeli Ministry of Health. The decrease was primarily offset by an increase in revenue of $8.6 million related to the collaboration agreement with CSL Seqirus and the grant agreement with BARDA which were both executed in the second half of 2022. Revenue increased by $58.5 million during the six months ended June 30, 2023 as compared to the six months ended June 30, 2022. The increase was attributable to an increase in revenue of $87.6 million primarily related to the collaboration agreement with CSL Seqirus and the grant agreement with BARDA which were both executed in the second half of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operating expenses for the three months ended June 30, 2023 were $65.9 million compared with $49.2 million for the three months ended June 30, 2022. Total operating expenses for the six months ended June 30, 2023 were $131.4 million compared with $104.8 million for the six months ended June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color w:val="auto"/>
        </w:rPr>
        <w:t> </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$52.7 million for the three months ended June 30, 2023, compared with $38.2 million in the comparable period last year, primarily reflecting increased clinical research and manufacturing costs of $11.4 million and an increase of $2.9 million in personnel related costs. Research and development expenses were $104.4 million for the six months ended June 30, 2023, compared with $83.1 million in the comparable period last year, primarily reflecting increased manufacturing costs of $11.1 million, an increase of $5.9 million in personnel related costs, an increase in consulting expenses of $1.8 million, an increase of $1.3 million in facilities expense and a decrease of contra research and development expenses recognized of $2.7 million. The increase was primarily offset by a decrease of clinical-related expenses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primarily consist of salaries and related benefits for our executive, administrative, legal and accounting functions and professional service fees for legal and accounting services as well as other general and administrative expenses. General and administrative expenses were $13.2 million and $27.0 million for the three and six months ended June 30, 2023, respectively, compared with $11.0 million and $21.7 million in the comparable periods last year. The increases resulted primarily from personnel expenses due to increased headcount and salaries, increased travel and consulting expenses as well as increased rent expense associated with the new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June 30, 2023, Arcturus reported a net loss of approximately $52.6 million, or ($1.98) per diluted share, compared with a net loss of $21.6 million, or ($0.82) per diluted share in the three months ended June 30, 2022. For the six months ended June 30, 2023, Arcturus reported a net loss of approximately $1.8 million, or ($0.07) per diluted share, compared with a net loss of $72.7 million, or ($2.75) per diluted share in the six months ended June 30,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 and Balance Sheet:</w:t>
      </w:r>
      <w:r>
        <w:rPr>
          <w:rFonts w:ascii="Arial" w:cs="Arial" w:eastAsia="Arial" w:hAnsi="Arial"/>
          <w:sz w:val="18"/>
          <w:szCs w:val="18"/>
          <w:color w:val="auto"/>
        </w:rPr>
        <w:t> </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cash equivalents and restricted cash were $380.6 million as of June 30, 2023 and $394.0 million on December 31, 2022. We have collected approximately $300.0 million in upfront payments and milestones from CSL Seqirus as of June 30, 2023. Additionally, we received $23.6 million under the manufacturing and supply of ARCT-154 from CSL Seqirus during the quarter ended June 30, 2023. We expect to continue to receive future milestone payments from CSL Seqirus that will support the ongoing development of the covid and flu programs. The cash runway remains extended through the beginning of 2026 based on the current pipeline and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Call: Monday, August 7, 2023 @ 4:30 pm ET</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1-877-407-0784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1-201-689-8560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Conference ID: 13738872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Webcast: Link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mRNA, DNA, and gene editing therapeutics. Arcturus’ technologies are covered by its extensive patent portfolio (patents and patent applications issued in the U.S., Europe, Japan, China, and other countries). For more information, visit www.ArcturusRx.com. In addition, please connect with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ARCT-810) and partnered programs (including the COVID-19 and flu programs partnered with CSL Seqirus), the potential of the Company’s platform technology to be meaningfully differentiated from other technologies, the anticipated timing and sharing of clinical data including from the Company’s ARCT-810 and ARCT-032 programs, the continued progress of the LUNAR-FLU program, the likelihood and timing of regulatory approvals of any products including ARCT-154 in Japan or anywhere else, the anticipated conduct of the ARCT-032 study in New Zealand, the likelihood that preclinical or clinical data will be predictive of future clinical results, the likelihood that the interim study results of the ARCT-154 Phase 3 booster vaccine study will be predictive of, or consistent with, the complete study results, the likelihood that a patent will issue from any patent application,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Acknowledgements</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 thousands, except par value information)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323,471</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391,883</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2,764</w:t>
            </w: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8,686</w:t>
            </w:r>
          </w:p>
        </w:tc>
      </w:tr>
      <w:tr>
        <w:trPr>
          <w:trHeight w:val="209"/>
        </w:trPr>
        <w:tc>
          <w:tcPr>
            <w:tcW w:w="78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385,244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403,333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12,415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32,545</w:t>
            </w: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2,094</w:t>
            </w:r>
          </w:p>
        </w:tc>
      </w:tr>
      <w:tr>
        <w:trPr>
          <w:trHeight w:val="263"/>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430,646</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450,387</w:t>
            </w:r>
          </w:p>
        </w:tc>
      </w:tr>
      <w:tr>
        <w:trPr>
          <w:trHeight w:val="197"/>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13,619</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7,449</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30,232</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60,655</w:t>
            </w:r>
          </w:p>
        </w:tc>
      </w:tr>
      <w:tr>
        <w:trPr>
          <w:trHeight w:val="229"/>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47,963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28,648</w:t>
            </w:r>
          </w:p>
        </w:tc>
      </w:tr>
      <w:tr>
        <w:trPr>
          <w:trHeight w:val="21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126,984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20,071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30,216</w:t>
            </w:r>
          </w:p>
        </w:tc>
      </w:tr>
      <w:tr>
        <w:trPr>
          <w:trHeight w:val="23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2,804</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180,075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2"/>
        </w:trPr>
        <w:tc>
          <w:tcPr>
            <w:tcW w:w="7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60,000 shares authorized; issued and outstanding shares were 26,574</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June 30, 2023 and 26,555 at December 31, 2022</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625,085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608,426</w:t>
            </w:r>
          </w:p>
        </w:tc>
      </w:tr>
      <w:tr>
        <w:trPr>
          <w:trHeight w:val="21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(339,937)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r>
      <w:tr>
        <w:trPr>
          <w:trHeight w:val="223"/>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285,175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270,312</w:t>
            </w:r>
          </w:p>
        </w:tc>
      </w:tr>
      <w:tr>
        <w:trPr>
          <w:trHeight w:val="263"/>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430,646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450,387</w:t>
            </w:r>
          </w:p>
        </w:tc>
      </w:tr>
      <w:tr>
        <w:trPr>
          <w:trHeight w:val="548"/>
        </w:trPr>
        <w:tc>
          <w:tcPr>
            <w:tcW w:w="7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3" w:name="page14"/>
    <w:bookmarkEnd w:id="13"/>
    <w:p>
      <w:pPr>
        <w:jc w:val="center"/>
        <w:ind w:right="40"/>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9,565</w:t>
            </w:r>
          </w:p>
        </w:tc>
        <w:tc>
          <w:tcPr>
            <w:tcW w:w="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32,337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Grant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10,519</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90,804</w:t>
            </w:r>
          </w:p>
        </w:tc>
        <w:tc>
          <w:tcPr>
            <w:tcW w:w="2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32,337</w:t>
            </w: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Research and development, net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52,668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104,436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83,082</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13,225</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10,993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26,987</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65,893</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49,182</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131,423</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104,805</w:t>
            </w:r>
          </w:p>
        </w:tc>
        <w:tc>
          <w:tcPr>
            <w:tcW w:w="0" w:type="dxa"/>
            <w:vAlign w:val="bottom"/>
          </w:tcPr>
          <w:p>
            <w:pPr>
              <w:spacing w:after="0"/>
              <w:rPr>
                <w:sz w:val="1"/>
                <w:szCs w:val="1"/>
                <w:color w:val="auto"/>
              </w:rPr>
            </w:pPr>
          </w:p>
        </w:tc>
      </w:tr>
      <w:tr>
        <w:trPr>
          <w:trHeight w:val="209"/>
        </w:trPr>
        <w:tc>
          <w:tcPr>
            <w:tcW w:w="4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(55,374)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(40,619)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(72,468)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Gain (loss) from foreign currency</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debt extinguishment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income (expense),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3,252</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5,729</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(52,550)</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w:t>
            </w:r>
          </w:p>
        </w:tc>
        <w:tc>
          <w:tcPr>
            <w:tcW w:w="2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Weighted-average shares outstanding, basic and diluted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26,563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26,425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26,557</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(52,550)</w:t>
            </w:r>
          </w:p>
        </w:tc>
        <w:tc>
          <w:tcPr>
            <w:tcW w:w="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gridSpan w:val="2"/>
          </w:tcPr>
          <w:p>
            <w:pPr>
              <w:ind w:left="80"/>
              <w:spacing w:after="0" w:line="196" w:lineRule="exact"/>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(52,550)</w:t>
            </w: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(21,563)</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(1,796)</w:t>
            </w:r>
          </w:p>
        </w:tc>
        <w:tc>
          <w:tcPr>
            <w:tcW w:w="220" w:type="dxa"/>
            <w:vAlign w:val="bottom"/>
            <w:tcBorders>
              <w:top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(72,732)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499"/>
    </w:lvl>
  </w:abstractNum>
  <w:abstractNum w:abstractNumId="2">
    <w:nsid w:val="79E2A9E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7"/>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o"/>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858"/>
    </w:lvl>
  </w:abstractNum>
  <w:abstractNum w:abstractNumId="11">
    <w:nsid w:val="66EF438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2023-08-07T15:36:40Z</dcterms:created>
  <dcterms:modified xsi:type="dcterms:W3CDTF">2023-08-07T15:36:40Z</dcterms:modified>
</cp:coreProperties>
</file>