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13G</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Arcturus Therapeutics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M1492T105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Rule 13d-1(d)</w:t>
      </w:r>
    </w:p>
    <w:p>
      <w:pPr>
        <w:spacing w:after="0" w:line="225" w:lineRule="exact"/>
        <w:rPr>
          <w:sz w:val="24"/>
          <w:szCs w:val="24"/>
          <w:color w:val="auto"/>
        </w:rPr>
      </w:pPr>
    </w:p>
    <w:p>
      <w:pPr>
        <w:ind w:right="260" w:firstLine="656"/>
        <w:spacing w:after="0" w:line="347" w:lineRule="auto"/>
        <w:tabs>
          <w:tab w:leader="none" w:pos="783"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16" w:lineRule="exact"/>
        <w:rPr>
          <w:sz w:val="24"/>
          <w:szCs w:val="24"/>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Page 1 of 10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M1492T105</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99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Baker Bros. Advisors LP</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92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tcPr>
          <w:p>
            <w:pPr>
              <w:ind w:left="806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8060"/>
              <w:spacing w:after="0" w:line="207" w:lineRule="exact"/>
              <w:rPr>
                <w:sz w:val="20"/>
                <w:szCs w:val="20"/>
                <w:color w:val="auto"/>
              </w:rPr>
            </w:pPr>
            <w:r>
              <w:rPr>
                <w:rFonts w:ascii="Arial" w:cs="Arial" w:eastAsia="Arial" w:hAnsi="Arial"/>
                <w:sz w:val="18"/>
                <w:szCs w:val="18"/>
                <w:b w:val="1"/>
                <w:bCs w:val="1"/>
                <w:color w:val="auto"/>
                <w:w w:val="99"/>
              </w:rPr>
              <w:t xml:space="preserve">(b) </w:t>
            </w:r>
            <w:r>
              <w:rPr>
                <w:rFonts w:ascii="MS PGothic" w:cs="MS PGothic" w:eastAsia="MS PGothic" w:hAnsi="MS PGothic"/>
                <w:sz w:val="18"/>
                <w:szCs w:val="18"/>
                <w:color w:val="auto"/>
                <w:highlight w:val="black"/>
                <w:w w:val="99"/>
              </w:rPr>
              <w:t>☐</w:t>
            </w:r>
          </w:p>
        </w:tc>
        <w:tc>
          <w:tcPr>
            <w:tcW w:w="0" w:type="dxa"/>
            <w:vAlign w:val="bottom"/>
          </w:tcPr>
          <w:p>
            <w:pPr>
              <w:spacing w:after="0"/>
              <w:rPr>
                <w:sz w:val="1"/>
                <w:szCs w:val="1"/>
                <w:color w:val="auto"/>
              </w:rPr>
            </w:pPr>
          </w:p>
        </w:tc>
      </w:tr>
      <w:tr>
        <w:trPr>
          <w:trHeight w:val="34"/>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SEC USE ONLY</w:t>
            </w:r>
          </w:p>
        </w:tc>
        <w:tc>
          <w:tcPr>
            <w:tcW w:w="8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spacing w:after="0"/>
              <w:rPr>
                <w:sz w:val="22"/>
                <w:szCs w:val="22"/>
                <w:color w:val="auto"/>
              </w:rPr>
            </w:pPr>
          </w:p>
        </w:tc>
        <w:tc>
          <w:tcPr>
            <w:tcW w:w="13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2"/>
                <w:szCs w:val="22"/>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3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right w:val="single" w:sz="8" w:color="auto"/>
            </w:tcBorders>
            <w:vMerge w:val="continue"/>
          </w:tcPr>
          <w:p>
            <w:pPr>
              <w:spacing w:after="0"/>
              <w:rPr>
                <w:sz w:val="18"/>
                <w:szCs w:val="18"/>
                <w:color w:val="auto"/>
              </w:rPr>
            </w:pPr>
          </w:p>
        </w:tc>
        <w:tc>
          <w:tcPr>
            <w:tcW w:w="13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98"/>
        </w:trPr>
        <w:tc>
          <w:tcPr>
            <w:tcW w:w="152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13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13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w:t>
            </w:r>
          </w:p>
        </w:tc>
        <w:tc>
          <w:tcPr>
            <w:tcW w:w="134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520" w:type="dxa"/>
            <w:vAlign w:val="bottom"/>
            <w:tcBorders>
              <w:left w:val="single" w:sz="8" w:color="auto"/>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6"/>
                <w:szCs w:val="6"/>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13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1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PERSON</w:t>
            </w:r>
          </w:p>
        </w:tc>
        <w:tc>
          <w:tcPr>
            <w:tcW w:w="1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20" w:type="dxa"/>
            <w:vAlign w:val="bottom"/>
            <w:tcBorders>
              <w:left w:val="single" w:sz="8" w:color="auto"/>
              <w:right w:val="single" w:sz="8" w:color="auto"/>
            </w:tcBorders>
            <w:vMerge w:val="continue"/>
          </w:tcPr>
          <w:p>
            <w:pPr>
              <w:spacing w:after="0"/>
              <w:rPr>
                <w:sz w:val="15"/>
                <w:szCs w:val="15"/>
                <w:color w:val="auto"/>
              </w:rPr>
            </w:pPr>
          </w:p>
        </w:tc>
        <w:tc>
          <w:tcPr>
            <w:tcW w:w="134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5"/>
                <w:szCs w:val="15"/>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8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92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b w:val="1"/>
                <w:bCs w:val="1"/>
                <w:color w:val="auto"/>
              </w:rPr>
              <w:t xml:space="preserve">CHECK BOX IF THE AGGREGATE AMOUNT IN ROW (9) EXCLUDES CERTAIN SHARES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(See Instructions)</w:t>
            </w:r>
          </w:p>
        </w:tc>
        <w:tc>
          <w:tcPr>
            <w:tcW w:w="0" w:type="dxa"/>
            <w:vAlign w:val="bottom"/>
          </w:tcPr>
          <w:p>
            <w:pPr>
              <w:spacing w:after="0"/>
              <w:rPr>
                <w:sz w:val="1"/>
                <w:szCs w:val="1"/>
                <w:color w:val="auto"/>
              </w:rPr>
            </w:pPr>
          </w:p>
        </w:tc>
      </w:tr>
      <w:tr>
        <w:trPr>
          <w:trHeight w:val="270"/>
        </w:trPr>
        <w:tc>
          <w:tcPr>
            <w:tcW w:w="1520" w:type="dxa"/>
            <w:vAlign w:val="bottom"/>
            <w:tcBorders>
              <w:left w:val="single" w:sz="8" w:color="auto"/>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58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0.0% (1)</w:t>
            </w:r>
          </w:p>
        </w:tc>
        <w:tc>
          <w:tcPr>
            <w:tcW w:w="20" w:type="dxa"/>
            <w:vAlign w:val="bottom"/>
          </w:tcPr>
          <w:p>
            <w:pPr>
              <w:spacing w:after="0"/>
              <w:rPr>
                <w:sz w:val="24"/>
                <w:szCs w:val="24"/>
                <w:color w:val="auto"/>
              </w:rPr>
            </w:pP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IA, PN</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4490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10,568,901 Ordinary Shares of Arcturus Therapeutics Ltd. (the “Issuer”) outstanding as of November 16, 2017 as reported in the Issuer’s Form 6-K filed with the Securities and Exchange Commission (“SEC”) on November 16,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0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M1492T105</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99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rPr>
              <w:t>Baker Bros. Advisors (GP) LLC</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92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tcPr>
          <w:p>
            <w:pPr>
              <w:ind w:left="806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8060"/>
              <w:spacing w:after="0" w:line="207" w:lineRule="exact"/>
              <w:rPr>
                <w:sz w:val="20"/>
                <w:szCs w:val="20"/>
                <w:color w:val="auto"/>
              </w:rPr>
            </w:pPr>
            <w:r>
              <w:rPr>
                <w:rFonts w:ascii="Arial" w:cs="Arial" w:eastAsia="Arial" w:hAnsi="Arial"/>
                <w:sz w:val="18"/>
                <w:szCs w:val="18"/>
                <w:b w:val="1"/>
                <w:bCs w:val="1"/>
                <w:color w:val="auto"/>
                <w:w w:val="99"/>
              </w:rPr>
              <w:t xml:space="preserve">(b) </w:t>
            </w:r>
            <w:r>
              <w:rPr>
                <w:rFonts w:ascii="MS PGothic" w:cs="MS PGothic" w:eastAsia="MS PGothic" w:hAnsi="MS PGothic"/>
                <w:sz w:val="18"/>
                <w:szCs w:val="18"/>
                <w:color w:val="auto"/>
                <w:highlight w:val="black"/>
                <w:w w:val="99"/>
              </w:rPr>
              <w:t>☐</w:t>
            </w:r>
          </w:p>
        </w:tc>
        <w:tc>
          <w:tcPr>
            <w:tcW w:w="0" w:type="dxa"/>
            <w:vAlign w:val="bottom"/>
          </w:tcPr>
          <w:p>
            <w:pPr>
              <w:spacing w:after="0"/>
              <w:rPr>
                <w:sz w:val="1"/>
                <w:szCs w:val="1"/>
                <w:color w:val="auto"/>
              </w:rPr>
            </w:pPr>
          </w:p>
        </w:tc>
      </w:tr>
      <w:tr>
        <w:trPr>
          <w:trHeight w:val="34"/>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SEC USE ONLY</w:t>
            </w:r>
          </w:p>
        </w:tc>
        <w:tc>
          <w:tcPr>
            <w:tcW w:w="8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spacing w:after="0"/>
              <w:rPr>
                <w:sz w:val="22"/>
                <w:szCs w:val="22"/>
                <w:color w:val="auto"/>
              </w:rPr>
            </w:pPr>
          </w:p>
        </w:tc>
        <w:tc>
          <w:tcPr>
            <w:tcW w:w="13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2"/>
                <w:szCs w:val="22"/>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3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right w:val="single" w:sz="8" w:color="auto"/>
            </w:tcBorders>
            <w:vMerge w:val="continue"/>
          </w:tcPr>
          <w:p>
            <w:pPr>
              <w:spacing w:after="0"/>
              <w:rPr>
                <w:sz w:val="18"/>
                <w:szCs w:val="18"/>
                <w:color w:val="auto"/>
              </w:rPr>
            </w:pPr>
          </w:p>
        </w:tc>
        <w:tc>
          <w:tcPr>
            <w:tcW w:w="13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98"/>
        </w:trPr>
        <w:tc>
          <w:tcPr>
            <w:tcW w:w="152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13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13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w:t>
            </w:r>
          </w:p>
        </w:tc>
        <w:tc>
          <w:tcPr>
            <w:tcW w:w="134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520" w:type="dxa"/>
            <w:vAlign w:val="bottom"/>
            <w:tcBorders>
              <w:left w:val="single" w:sz="8" w:color="auto"/>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6"/>
                <w:szCs w:val="6"/>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13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1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PERSON</w:t>
            </w:r>
          </w:p>
        </w:tc>
        <w:tc>
          <w:tcPr>
            <w:tcW w:w="1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20" w:type="dxa"/>
            <w:vAlign w:val="bottom"/>
            <w:tcBorders>
              <w:left w:val="single" w:sz="8" w:color="auto"/>
              <w:right w:val="single" w:sz="8" w:color="auto"/>
            </w:tcBorders>
            <w:vMerge w:val="continue"/>
          </w:tcPr>
          <w:p>
            <w:pPr>
              <w:spacing w:after="0"/>
              <w:rPr>
                <w:sz w:val="15"/>
                <w:szCs w:val="15"/>
                <w:color w:val="auto"/>
              </w:rPr>
            </w:pPr>
          </w:p>
        </w:tc>
        <w:tc>
          <w:tcPr>
            <w:tcW w:w="134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5"/>
                <w:szCs w:val="15"/>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8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92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b w:val="1"/>
                <w:bCs w:val="1"/>
                <w:color w:val="auto"/>
              </w:rPr>
              <w:t xml:space="preserve">CHECK BOX IF THE AGGREGATE AMOUNT IN ROW (9) EXCLUDES CERTAIN SHARES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(See Instructions)</w:t>
            </w:r>
          </w:p>
        </w:tc>
        <w:tc>
          <w:tcPr>
            <w:tcW w:w="0" w:type="dxa"/>
            <w:vAlign w:val="bottom"/>
          </w:tcPr>
          <w:p>
            <w:pPr>
              <w:spacing w:after="0"/>
              <w:rPr>
                <w:sz w:val="1"/>
                <w:szCs w:val="1"/>
                <w:color w:val="auto"/>
              </w:rPr>
            </w:pPr>
          </w:p>
        </w:tc>
      </w:tr>
      <w:tr>
        <w:trPr>
          <w:trHeight w:val="270"/>
        </w:trPr>
        <w:tc>
          <w:tcPr>
            <w:tcW w:w="1520" w:type="dxa"/>
            <w:vAlign w:val="bottom"/>
            <w:tcBorders>
              <w:left w:val="single" w:sz="8" w:color="auto"/>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58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0.0% (1)</w:t>
            </w:r>
          </w:p>
        </w:tc>
        <w:tc>
          <w:tcPr>
            <w:tcW w:w="20" w:type="dxa"/>
            <w:vAlign w:val="bottom"/>
          </w:tcPr>
          <w:p>
            <w:pPr>
              <w:spacing w:after="0"/>
              <w:rPr>
                <w:sz w:val="24"/>
                <w:szCs w:val="24"/>
                <w:color w:val="auto"/>
              </w:rPr>
            </w:pP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HC, OO</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449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1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10,568,901 Ordinary Shares of the Issuer outstanding as of November 16, 2017 as reported in the Issuer’s Form 6-K filed with the SEC on November 16,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121"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M1492T105</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99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Felix J. Baker</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92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tcPr>
          <w:p>
            <w:pPr>
              <w:ind w:left="806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8060"/>
              <w:spacing w:after="0" w:line="207" w:lineRule="exact"/>
              <w:rPr>
                <w:sz w:val="20"/>
                <w:szCs w:val="20"/>
                <w:color w:val="auto"/>
              </w:rPr>
            </w:pPr>
            <w:r>
              <w:rPr>
                <w:rFonts w:ascii="Arial" w:cs="Arial" w:eastAsia="Arial" w:hAnsi="Arial"/>
                <w:sz w:val="18"/>
                <w:szCs w:val="18"/>
                <w:b w:val="1"/>
                <w:bCs w:val="1"/>
                <w:color w:val="auto"/>
                <w:w w:val="99"/>
              </w:rPr>
              <w:t xml:space="preserve">(b) </w:t>
            </w:r>
            <w:r>
              <w:rPr>
                <w:rFonts w:ascii="MS PGothic" w:cs="MS PGothic" w:eastAsia="MS PGothic" w:hAnsi="MS PGothic"/>
                <w:sz w:val="18"/>
                <w:szCs w:val="18"/>
                <w:color w:val="auto"/>
                <w:highlight w:val="black"/>
                <w:w w:val="99"/>
              </w:rPr>
              <w:t>☐</w:t>
            </w:r>
          </w:p>
        </w:tc>
        <w:tc>
          <w:tcPr>
            <w:tcW w:w="0" w:type="dxa"/>
            <w:vAlign w:val="bottom"/>
          </w:tcPr>
          <w:p>
            <w:pPr>
              <w:spacing w:after="0"/>
              <w:rPr>
                <w:sz w:val="1"/>
                <w:szCs w:val="1"/>
                <w:color w:val="auto"/>
              </w:rPr>
            </w:pPr>
          </w:p>
        </w:tc>
      </w:tr>
      <w:tr>
        <w:trPr>
          <w:trHeight w:val="34"/>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SEC USE ONLY</w:t>
            </w:r>
          </w:p>
        </w:tc>
        <w:tc>
          <w:tcPr>
            <w:tcW w:w="8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spacing w:after="0"/>
              <w:rPr>
                <w:sz w:val="22"/>
                <w:szCs w:val="22"/>
                <w:color w:val="auto"/>
              </w:rPr>
            </w:pPr>
          </w:p>
        </w:tc>
        <w:tc>
          <w:tcPr>
            <w:tcW w:w="13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2"/>
                <w:szCs w:val="22"/>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3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right w:val="single" w:sz="8" w:color="auto"/>
            </w:tcBorders>
            <w:vMerge w:val="continue"/>
          </w:tcPr>
          <w:p>
            <w:pPr>
              <w:spacing w:after="0"/>
              <w:rPr>
                <w:sz w:val="18"/>
                <w:szCs w:val="18"/>
                <w:color w:val="auto"/>
              </w:rPr>
            </w:pPr>
          </w:p>
        </w:tc>
        <w:tc>
          <w:tcPr>
            <w:tcW w:w="13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98"/>
        </w:trPr>
        <w:tc>
          <w:tcPr>
            <w:tcW w:w="152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13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13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w:t>
            </w:r>
          </w:p>
        </w:tc>
        <w:tc>
          <w:tcPr>
            <w:tcW w:w="134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520" w:type="dxa"/>
            <w:vAlign w:val="bottom"/>
            <w:tcBorders>
              <w:left w:val="single" w:sz="8" w:color="auto"/>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6"/>
                <w:szCs w:val="6"/>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13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1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PERSON</w:t>
            </w:r>
          </w:p>
        </w:tc>
        <w:tc>
          <w:tcPr>
            <w:tcW w:w="1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20" w:type="dxa"/>
            <w:vAlign w:val="bottom"/>
            <w:tcBorders>
              <w:left w:val="single" w:sz="8" w:color="auto"/>
              <w:right w:val="single" w:sz="8" w:color="auto"/>
            </w:tcBorders>
            <w:vMerge w:val="continue"/>
          </w:tcPr>
          <w:p>
            <w:pPr>
              <w:spacing w:after="0"/>
              <w:rPr>
                <w:sz w:val="15"/>
                <w:szCs w:val="15"/>
                <w:color w:val="auto"/>
              </w:rPr>
            </w:pPr>
          </w:p>
        </w:tc>
        <w:tc>
          <w:tcPr>
            <w:tcW w:w="134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5"/>
                <w:szCs w:val="15"/>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8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92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b w:val="1"/>
                <w:bCs w:val="1"/>
                <w:color w:val="auto"/>
              </w:rPr>
              <w:t xml:space="preserve">CHECK BOX IF THE AGGREGATE AMOUNT IN ROW (9) EXCLUDES CERTAIN SHARES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(See Instructions)</w:t>
            </w:r>
          </w:p>
        </w:tc>
        <w:tc>
          <w:tcPr>
            <w:tcW w:w="0" w:type="dxa"/>
            <w:vAlign w:val="bottom"/>
          </w:tcPr>
          <w:p>
            <w:pPr>
              <w:spacing w:after="0"/>
              <w:rPr>
                <w:sz w:val="1"/>
                <w:szCs w:val="1"/>
                <w:color w:val="auto"/>
              </w:rPr>
            </w:pPr>
          </w:p>
        </w:tc>
      </w:tr>
      <w:tr>
        <w:trPr>
          <w:trHeight w:val="270"/>
        </w:trPr>
        <w:tc>
          <w:tcPr>
            <w:tcW w:w="1520" w:type="dxa"/>
            <w:vAlign w:val="bottom"/>
            <w:tcBorders>
              <w:left w:val="single" w:sz="8" w:color="auto"/>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58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0.0% (1)</w:t>
            </w:r>
          </w:p>
        </w:tc>
        <w:tc>
          <w:tcPr>
            <w:tcW w:w="20" w:type="dxa"/>
            <w:vAlign w:val="bottom"/>
          </w:tcPr>
          <w:p>
            <w:pPr>
              <w:spacing w:after="0"/>
              <w:rPr>
                <w:sz w:val="24"/>
                <w:szCs w:val="24"/>
                <w:color w:val="auto"/>
              </w:rPr>
            </w:pP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IN, HC</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449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10,568,901 Ordinary Shares of the Issuer outstanding as of November 16, 2017 as reported in the Issuer’s Form 6-K filed with the SEC on November 16,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04" w:right="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 xml:space="preserve">CUSIP No. </w:t>
      </w:r>
      <w:r>
        <w:rPr>
          <w:rFonts w:ascii="Arial" w:cs="Arial" w:eastAsia="Arial" w:hAnsi="Arial"/>
          <w:sz w:val="18"/>
          <w:szCs w:val="18"/>
          <w:b w:val="1"/>
          <w:bCs w:val="1"/>
          <w:u w:val="single" w:color="auto"/>
          <w:color w:val="auto"/>
        </w:rPr>
        <w:t>M1492T105</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1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w:t>
            </w:r>
          </w:p>
        </w:tc>
        <w:tc>
          <w:tcPr>
            <w:tcW w:w="992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NAMES OF REPORTING PERSONS</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Julian C. Baker</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992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2</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tcPr>
          <w:p>
            <w:pPr>
              <w:ind w:left="8060"/>
              <w:spacing w:after="0" w:line="207" w:lineRule="exact"/>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83"/>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8060"/>
              <w:spacing w:after="0" w:line="207" w:lineRule="exact"/>
              <w:rPr>
                <w:sz w:val="20"/>
                <w:szCs w:val="20"/>
                <w:color w:val="auto"/>
              </w:rPr>
            </w:pPr>
            <w:r>
              <w:rPr>
                <w:rFonts w:ascii="Arial" w:cs="Arial" w:eastAsia="Arial" w:hAnsi="Arial"/>
                <w:sz w:val="18"/>
                <w:szCs w:val="18"/>
                <w:b w:val="1"/>
                <w:bCs w:val="1"/>
                <w:color w:val="auto"/>
                <w:w w:val="99"/>
              </w:rPr>
              <w:t xml:space="preserve">(b) </w:t>
            </w:r>
            <w:r>
              <w:rPr>
                <w:rFonts w:ascii="MS PGothic" w:cs="MS PGothic" w:eastAsia="MS PGothic" w:hAnsi="MS PGothic"/>
                <w:sz w:val="18"/>
                <w:szCs w:val="18"/>
                <w:color w:val="auto"/>
                <w:highlight w:val="black"/>
                <w:w w:val="99"/>
              </w:rPr>
              <w:t>☐</w:t>
            </w:r>
          </w:p>
        </w:tc>
        <w:tc>
          <w:tcPr>
            <w:tcW w:w="0" w:type="dxa"/>
            <w:vAlign w:val="bottom"/>
          </w:tcPr>
          <w:p>
            <w:pPr>
              <w:spacing w:after="0"/>
              <w:rPr>
                <w:sz w:val="1"/>
                <w:szCs w:val="1"/>
                <w:color w:val="auto"/>
              </w:rPr>
            </w:pPr>
          </w:p>
        </w:tc>
      </w:tr>
      <w:tr>
        <w:trPr>
          <w:trHeight w:val="34"/>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SEC USE ONLY</w:t>
            </w:r>
          </w:p>
        </w:tc>
        <w:tc>
          <w:tcPr>
            <w:tcW w:w="85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1520" w:type="dxa"/>
            <w:vAlign w:val="bottom"/>
            <w:tcBorders>
              <w:left w:val="single" w:sz="8" w:color="auto"/>
              <w:bottom w:val="single" w:sz="8" w:color="auto"/>
              <w:right w:val="single" w:sz="8" w:color="auto"/>
            </w:tcBorders>
          </w:tcPr>
          <w:p>
            <w:pPr>
              <w:spacing w:after="0"/>
              <w:rPr>
                <w:sz w:val="24"/>
                <w:szCs w:val="24"/>
                <w:color w:val="auto"/>
              </w:rPr>
            </w:pPr>
          </w:p>
        </w:tc>
        <w:tc>
          <w:tcPr>
            <w:tcW w:w="992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CITIZENSHIP OR PLACE OF ORGANIZATION</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spacing w:after="0"/>
              <w:rPr>
                <w:sz w:val="22"/>
                <w:szCs w:val="22"/>
                <w:color w:val="auto"/>
              </w:rPr>
            </w:pPr>
          </w:p>
        </w:tc>
        <w:tc>
          <w:tcPr>
            <w:tcW w:w="13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22"/>
                <w:szCs w:val="22"/>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134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20" w:type="dxa"/>
            <w:vAlign w:val="bottom"/>
            <w:tcBorders>
              <w:left w:val="single" w:sz="8" w:color="auto"/>
              <w:right w:val="single" w:sz="8" w:color="auto"/>
            </w:tcBorders>
            <w:vMerge w:val="continue"/>
          </w:tcPr>
          <w:p>
            <w:pPr>
              <w:spacing w:after="0"/>
              <w:rPr>
                <w:sz w:val="18"/>
                <w:szCs w:val="18"/>
                <w:color w:val="auto"/>
              </w:rPr>
            </w:pPr>
          </w:p>
        </w:tc>
        <w:tc>
          <w:tcPr>
            <w:tcW w:w="134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98"/>
        </w:trPr>
        <w:tc>
          <w:tcPr>
            <w:tcW w:w="1520" w:type="dxa"/>
            <w:vAlign w:val="bottom"/>
            <w:tcBorders>
              <w:left w:val="single" w:sz="8" w:color="auto"/>
              <w:right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5"/>
              </w:rPr>
              <w:t>SHARES</w:t>
            </w:r>
          </w:p>
        </w:tc>
        <w:tc>
          <w:tcPr>
            <w:tcW w:w="134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134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520" w:type="dxa"/>
            <w:vAlign w:val="bottom"/>
            <w:tcBorders>
              <w:left w:val="single" w:sz="8" w:color="auto"/>
              <w:right w:val="single" w:sz="8" w:color="auto"/>
            </w:tcBorders>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w:t>
            </w:r>
          </w:p>
        </w:tc>
        <w:tc>
          <w:tcPr>
            <w:tcW w:w="134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520" w:type="dxa"/>
            <w:vAlign w:val="bottom"/>
            <w:tcBorders>
              <w:left w:val="single" w:sz="8" w:color="auto"/>
              <w:right w:val="single" w:sz="8" w:color="auto"/>
            </w:tcBorders>
            <w:vMerge w:val="continue"/>
          </w:tcPr>
          <w:p>
            <w:pPr>
              <w:spacing w:after="0"/>
              <w:rPr>
                <w:sz w:val="6"/>
                <w:szCs w:val="6"/>
                <w:color w:val="auto"/>
              </w:rPr>
            </w:pPr>
          </w:p>
        </w:tc>
        <w:tc>
          <w:tcPr>
            <w:tcW w:w="134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6"/>
                <w:szCs w:val="6"/>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1340" w:type="dxa"/>
            <w:vAlign w:val="bottom"/>
            <w:tcBorders>
              <w:right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1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PERSON</w:t>
            </w:r>
          </w:p>
        </w:tc>
        <w:tc>
          <w:tcPr>
            <w:tcW w:w="134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5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3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20" w:type="dxa"/>
            <w:vAlign w:val="bottom"/>
            <w:tcBorders>
              <w:left w:val="single" w:sz="8" w:color="auto"/>
              <w:right w:val="single" w:sz="8" w:color="auto"/>
            </w:tcBorders>
            <w:vMerge w:val="continue"/>
          </w:tcPr>
          <w:p>
            <w:pPr>
              <w:spacing w:after="0"/>
              <w:rPr>
                <w:sz w:val="15"/>
                <w:szCs w:val="15"/>
                <w:color w:val="auto"/>
              </w:rPr>
            </w:pPr>
          </w:p>
        </w:tc>
        <w:tc>
          <w:tcPr>
            <w:tcW w:w="1340" w:type="dxa"/>
            <w:vAlign w:val="bottom"/>
            <w:tcBorders>
              <w:right w:val="single" w:sz="8" w:color="auto"/>
            </w:tcBorders>
            <w:vMerge w:val="restart"/>
          </w:tcPr>
          <w:p>
            <w:pPr>
              <w:ind w:left="60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5"/>
                <w:szCs w:val="15"/>
                <w:color w:val="auto"/>
              </w:rPr>
            </w:pPr>
          </w:p>
        </w:tc>
        <w:tc>
          <w:tcPr>
            <w:tcW w:w="85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81"/>
        </w:trPr>
        <w:tc>
          <w:tcPr>
            <w:tcW w:w="1520" w:type="dxa"/>
            <w:vAlign w:val="bottom"/>
            <w:tcBorders>
              <w:left w:val="single" w:sz="8" w:color="auto"/>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8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9</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9920" w:type="dxa"/>
            <w:vAlign w:val="bottom"/>
            <w:tcBorders>
              <w:right w:val="single" w:sz="8" w:color="auto"/>
            </w:tcBorders>
            <w:gridSpan w:val="3"/>
          </w:tcPr>
          <w:p>
            <w:pPr>
              <w:ind w:left="40"/>
              <w:spacing w:after="0" w:line="207" w:lineRule="exact"/>
              <w:rPr>
                <w:sz w:val="20"/>
                <w:szCs w:val="20"/>
                <w:color w:val="auto"/>
              </w:rPr>
            </w:pPr>
            <w:r>
              <w:rPr>
                <w:rFonts w:ascii="Arial" w:cs="Arial" w:eastAsia="Arial" w:hAnsi="Arial"/>
                <w:sz w:val="18"/>
                <w:szCs w:val="18"/>
                <w:b w:val="1"/>
                <w:bCs w:val="1"/>
                <w:color w:val="auto"/>
              </w:rPr>
              <w:t xml:space="preserve">CHECK BOX IF THE AGGREGATE AMOUNT IN ROW (9) EXCLUDES CERTAIN SHARES </w:t>
            </w:r>
            <w:r>
              <w:rPr>
                <w:rFonts w:ascii="MS PGothic" w:cs="MS PGothic" w:eastAsia="MS PGothic" w:hAnsi="MS PGothic"/>
                <w:sz w:val="18"/>
                <w:szCs w:val="18"/>
                <w:color w:val="auto"/>
                <w:highlight w:val="black"/>
              </w:rPr>
              <w:t>☐</w:t>
            </w:r>
          </w:p>
        </w:tc>
        <w:tc>
          <w:tcPr>
            <w:tcW w:w="0" w:type="dxa"/>
            <w:vAlign w:val="bottom"/>
          </w:tcPr>
          <w:p>
            <w:pPr>
              <w:spacing w:after="0"/>
              <w:rPr>
                <w:sz w:val="1"/>
                <w:szCs w:val="1"/>
                <w:color w:val="auto"/>
              </w:rPr>
            </w:pPr>
          </w:p>
        </w:tc>
      </w:tr>
      <w:tr>
        <w:trPr>
          <w:trHeight w:val="234"/>
        </w:trPr>
        <w:tc>
          <w:tcPr>
            <w:tcW w:w="1520" w:type="dxa"/>
            <w:vAlign w:val="bottom"/>
            <w:tcBorders>
              <w:left w:val="single" w:sz="8" w:color="auto"/>
              <w:right w:val="single" w:sz="8" w:color="auto"/>
            </w:tcBorders>
          </w:tcPr>
          <w:p>
            <w:pPr>
              <w:spacing w:after="0"/>
              <w:rPr>
                <w:sz w:val="20"/>
                <w:szCs w:val="20"/>
                <w:color w:val="auto"/>
              </w:rPr>
            </w:pP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(See Instructions)</w:t>
            </w:r>
          </w:p>
        </w:tc>
        <w:tc>
          <w:tcPr>
            <w:tcW w:w="0" w:type="dxa"/>
            <w:vAlign w:val="bottom"/>
          </w:tcPr>
          <w:p>
            <w:pPr>
              <w:spacing w:after="0"/>
              <w:rPr>
                <w:sz w:val="1"/>
                <w:szCs w:val="1"/>
                <w:color w:val="auto"/>
              </w:rPr>
            </w:pPr>
          </w:p>
        </w:tc>
      </w:tr>
      <w:tr>
        <w:trPr>
          <w:trHeight w:val="270"/>
        </w:trPr>
        <w:tc>
          <w:tcPr>
            <w:tcW w:w="1520" w:type="dxa"/>
            <w:vAlign w:val="bottom"/>
            <w:tcBorders>
              <w:left w:val="single" w:sz="8" w:color="auto"/>
              <w:bottom w:val="single" w:sz="8" w:color="auto"/>
              <w:right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8580" w:type="dxa"/>
            <w:vAlign w:val="bottom"/>
            <w:tcBorders>
              <w:bottom w:val="single" w:sz="8" w:color="auto"/>
              <w:right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11</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Arial" w:cs="Arial" w:eastAsia="Arial" w:hAnsi="Arial"/>
                <w:sz w:val="18"/>
                <w:szCs w:val="18"/>
                <w:color w:val="auto"/>
              </w:rPr>
              <w:t>0.0% (1)</w:t>
            </w:r>
          </w:p>
        </w:tc>
        <w:tc>
          <w:tcPr>
            <w:tcW w:w="20" w:type="dxa"/>
            <w:vAlign w:val="bottom"/>
          </w:tcPr>
          <w:p>
            <w:pPr>
              <w:spacing w:after="0"/>
              <w:rPr>
                <w:sz w:val="24"/>
                <w:szCs w:val="24"/>
                <w:color w:val="auto"/>
              </w:rPr>
            </w:pP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58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99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432"/>
        </w:trPr>
        <w:tc>
          <w:tcPr>
            <w:tcW w:w="1520" w:type="dxa"/>
            <w:vAlign w:val="bottom"/>
            <w:tcBorders>
              <w:left w:val="single" w:sz="8" w:color="auto"/>
              <w:right w:val="single" w:sz="8" w:color="auto"/>
            </w:tcBorders>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IN, HC</w:t>
            </w:r>
          </w:p>
        </w:tc>
        <w:tc>
          <w:tcPr>
            <w:tcW w:w="8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20" w:type="dxa"/>
            <w:vAlign w:val="bottom"/>
            <w:tcBorders>
              <w:left w:val="single" w:sz="8" w:color="auto"/>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4490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right="1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10,568,901 Ordinary Shares of the Issuer outstanding as of November 16, 2017 as reported in the Issuer’s Form 6-K filed with the SEC on November 16,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04"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Amendment No. 1 to Schedule 13G</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Amendment No. 1 to Schedule 13G amends the previously filed Schedule 13G filed by Baker Bros. Advisors LP (the “Adviser”), Baker Bros. Advisors (GP) LLC (the “Adviser GP”), Julian C. Baker and Felix J. Baker (collectively, the “Reporting Persons”). Except as supplemented herein, such statements, as heretofore amended and supplemented, remain in full force and effect.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Arcturus Therpaeutics, Inc. (formerly Alcobra Ltd.) (the “Issuer”)</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10628 Science Center Drive, Suite 200</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Diego, California 92121</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This Amendment No. 1 is being filed jointly by the Reporting Persons.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The business address of each of the Reporting Persons is:</w:t>
            </w:r>
          </w:p>
        </w:tc>
      </w:tr>
      <w:tr>
        <w:trPr>
          <w:trHeight w:val="42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c/o Baker Bros. Advisors LP</w:t>
            </w:r>
          </w:p>
        </w:tc>
      </w:tr>
      <w:tr>
        <w:trPr>
          <w:trHeight w:val="253"/>
        </w:trPr>
        <w:tc>
          <w:tcPr>
            <w:tcW w:w="1020" w:type="dxa"/>
            <w:vAlign w:val="bottom"/>
          </w:tcPr>
          <w:p>
            <w:pPr>
              <w:spacing w:after="0"/>
              <w:rPr>
                <w:sz w:val="21"/>
                <w:szCs w:val="21"/>
                <w:color w:val="auto"/>
              </w:rPr>
            </w:pPr>
          </w:p>
        </w:tc>
        <w:tc>
          <w:tcPr>
            <w:tcW w:w="10400" w:type="dxa"/>
            <w:vAlign w:val="bottom"/>
          </w:tcPr>
          <w:p>
            <w:pPr>
              <w:ind w:left="280"/>
              <w:spacing w:after="0" w:line="253" w:lineRule="exact"/>
              <w:rPr>
                <w:sz w:val="20"/>
                <w:szCs w:val="20"/>
                <w:color w:val="auto"/>
              </w:rPr>
            </w:pPr>
            <w:r>
              <w:rPr>
                <w:rFonts w:ascii="Arial" w:cs="Arial" w:eastAsia="Arial" w:hAnsi="Arial"/>
                <w:sz w:val="18"/>
                <w:szCs w:val="18"/>
                <w:color w:val="auto"/>
              </w:rPr>
              <w:t>860 Washington Street,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New York, NY 10014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(212) 339-5690</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418"/>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6"/>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w w:val="94"/>
              </w:rPr>
              <w:t>organized under the laws of the State of Delaware. The citizenship of each of Julian C. Baker and Felix J. Baker is the United States of</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America.</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Ordinary Shares, NIS 0.01 par value per share (“Ordinary Shares”)</w:t>
            </w:r>
          </w:p>
        </w:tc>
      </w:tr>
      <w:tr>
        <w:trPr>
          <w:trHeight w:val="432"/>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40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M1492T105</w:t>
            </w:r>
          </w:p>
        </w:tc>
      </w:tr>
      <w:tr>
        <w:trPr>
          <w:trHeight w:val="648"/>
        </w:trPr>
        <w:tc>
          <w:tcPr>
            <w:tcW w:w="102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ind w:left="4020"/>
              <w:spacing w:after="0"/>
              <w:rPr>
                <w:sz w:val="20"/>
                <w:szCs w:val="20"/>
                <w:color w:val="auto"/>
              </w:rPr>
            </w:pPr>
            <w:r>
              <w:rPr>
                <w:rFonts w:ascii="Arial" w:cs="Arial" w:eastAsia="Arial" w:hAnsi="Arial"/>
                <w:sz w:val="18"/>
                <w:szCs w:val="18"/>
                <w:color w:val="auto"/>
              </w:rPr>
              <w:t>Page 6 of 10 Pages</w:t>
            </w:r>
          </w:p>
        </w:tc>
      </w:tr>
    </w:tbl>
    <w:p>
      <w:pPr>
        <w:sectPr>
          <w:pgSz w:w="11900" w:h="16838" w:orient="portrait"/>
          <w:cols w:equalWidth="0" w:num="1">
            <w:col w:w="11420"/>
          </w:cols>
          <w:pgMar w:left="240" w:top="904" w:right="239" w:bottom="1440" w:gutter="0" w:footer="0" w:header="0"/>
        </w:sectPr>
      </w:pPr>
    </w:p>
    <w:bookmarkStart w:id="6" w:name="page7"/>
    <w:bookmarkEnd w:id="6"/>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(c), check whether the person filing is a:</w:t>
      </w:r>
    </w:p>
    <w:p>
      <w:pPr>
        <w:spacing w:after="0" w:line="197" w:lineRule="exact"/>
        <w:rPr>
          <w:sz w:val="20"/>
          <w:szCs w:val="20"/>
          <w:color w:val="auto"/>
        </w:rPr>
      </w:pP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57"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9" w:lineRule="exact"/>
        <w:rPr>
          <w:rFonts w:ascii="Arial" w:cs="Arial" w:eastAsia="Arial" w:hAnsi="Arial"/>
          <w:sz w:val="18"/>
          <w:szCs w:val="18"/>
          <w:color w:val="auto"/>
        </w:rPr>
      </w:pP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9" w:lineRule="exact"/>
        <w:rPr>
          <w:rFonts w:ascii="Arial" w:cs="Arial" w:eastAsia="Arial" w:hAnsi="Arial"/>
          <w:sz w:val="18"/>
          <w:szCs w:val="18"/>
          <w:color w:val="auto"/>
        </w:rPr>
      </w:pPr>
    </w:p>
    <w:p>
      <w:pPr>
        <w:ind w:left="1300" w:right="360" w:hanging="1292"/>
        <w:spacing w:after="0" w:line="215" w:lineRule="exact"/>
        <w:tabs>
          <w:tab w:leader="none" w:pos="652"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w:t>
      </w:r>
    </w:p>
    <w:p>
      <w:pPr>
        <w:ind w:left="660" w:hanging="652"/>
        <w:spacing w:after="0" w:line="207" w:lineRule="exact"/>
        <w:tabs>
          <w:tab w:leader="none" w:pos="66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13d-1(b)(1)(ii)(J).</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Items 5 through 9 and 11 of each of the cover pages to this Schedule 13G are incorporated herein reference. Certain securities of the Issuer are directly held by each of Baker Brothers Life Sciences, L.P. (“Life Sciences”) and 667, L.P. (“667”, and together with Life Sciences, the “Funds”). The information set forth below is based upon 10,568,901 Ordinary Shares outstanding as of November 16, 2017 as reported in the Issuer’s Form 6-K filed with the SEC on November 16, 2017. Such percentage figures are calculated in accordance with Rule 13d-3 under the Securities Exchange Act of 1934, as amended.</w:t>
      </w:r>
    </w:p>
    <w:p>
      <w:pPr>
        <w:spacing w:after="0" w:line="15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Number of Shares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of Common Stock</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we own or have the</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right to acquire</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Percent of Class</w:t>
            </w:r>
          </w:p>
        </w:tc>
        <w:tc>
          <w:tcPr>
            <w:tcW w:w="0" w:type="dxa"/>
            <w:vAlign w:val="bottom"/>
          </w:tcPr>
          <w:p>
            <w:pPr>
              <w:spacing w:after="0"/>
              <w:rPr>
                <w:sz w:val="1"/>
                <w:szCs w:val="1"/>
                <w:color w:val="auto"/>
              </w:rPr>
            </w:pPr>
          </w:p>
        </w:tc>
      </w:tr>
      <w:tr>
        <w:trPr>
          <w:trHeight w:val="230"/>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within 60 days</w:t>
            </w:r>
          </w:p>
        </w:tc>
        <w:tc>
          <w:tcPr>
            <w:tcW w:w="2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Outstanding</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667, L.P.</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600" w:type="dxa"/>
            <w:vAlign w:val="bottom"/>
            <w:gridSpan w:val="2"/>
          </w:tcPr>
          <w:p>
            <w:pPr>
              <w:spacing w:after="0"/>
              <w:rPr>
                <w:sz w:val="20"/>
                <w:szCs w:val="20"/>
                <w:color w:val="auto"/>
              </w:rPr>
            </w:pPr>
            <w:r>
              <w:rPr>
                <w:rFonts w:ascii="Arial" w:cs="Arial" w:eastAsia="Arial" w:hAnsi="Arial"/>
                <w:sz w:val="18"/>
                <w:szCs w:val="18"/>
                <w:color w:val="auto"/>
              </w:rPr>
              <w:t>Baker Brothers Life Sciences, L.P.</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6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gridSpan w:val="2"/>
            <w:vMerge w:val="continue"/>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 w:name="page8"/>
    <w:bookmarkEnd w:id="7"/>
    <w:p>
      <w:pPr>
        <w:ind w:right="80"/>
        <w:spacing w:after="0" w:line="312" w:lineRule="auto"/>
        <w:rPr>
          <w:sz w:val="20"/>
          <w:szCs w:val="20"/>
          <w:color w:val="auto"/>
        </w:rPr>
      </w:pPr>
      <w:r>
        <w:rPr>
          <w:rFonts w:ascii="Arial" w:cs="Arial" w:eastAsia="Arial" w:hAnsi="Arial"/>
          <w:sz w:val="16"/>
          <w:szCs w:val="16"/>
          <w:color w:val="auto"/>
        </w:rPr>
        <w:t>Pursuant to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Adviser GP, Felix J. Baker and Julian C. Baker as principals of the Adviser GP, and the Adviser may be deemed to be beneficial owners of securities of the Issuer directly held by the Funds, and may be deemed to have the sole power to vote or direct the vote of and the power to dispose or direct the disposition of such securities.</w:t>
      </w:r>
    </w:p>
    <w:p>
      <w:pPr>
        <w:spacing w:after="0" w:line="181"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Reporting Persons disclaim beneficial ownership of the securities held by each of the Funds, and this Amendment No. 1 shall not be deemed an admission that the Reporting Persons are the beneficial owners of such securities for purposes of Section 13(d) or for any other purpose.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ind w:left="1300" w:right="78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Item 4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8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 w:name="page9"/>
    <w:bookmarkEnd w:id="8"/>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9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9" w:name="page10"/>
    <w:bookmarkEnd w:id="9"/>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2018</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BAKER BROS. ADVISORS LP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Baker Bros. Advisors (GP) LLC, its general partner</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Scott L. Lessing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BAKER BROS. ADVISORS (GP) LLC</w:t>
      </w:r>
    </w:p>
    <w:p>
      <w:pPr>
        <w:spacing w:after="0" w:line="200" w:lineRule="exact"/>
        <w:rPr>
          <w:sz w:val="20"/>
          <w:szCs w:val="20"/>
          <w:color w:val="auto"/>
        </w:rPr>
      </w:pPr>
    </w:p>
    <w:p>
      <w:pPr>
        <w:spacing w:after="0" w:line="24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Scott L. Lessing</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Julian C. Baker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Felix J. Baker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Page 10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060"/>
      </w:cols>
      <w:pgMar w:left="24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2019-12-17T07:12:54Z</dcterms:created>
  <dcterms:modified xsi:type="dcterms:W3CDTF">2019-12-17T07:12:54Z</dcterms:modified>
</cp:coreProperties>
</file>