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ANNUAL REPORT PURSUANT TO SECTION 13 OR 15(d) OF THE SECURITIES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001-35932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Azrieli Triangle Building</w:t>
      </w:r>
    </w:p>
    <w:p>
      <w:pPr>
        <w:ind w:left="4160"/>
        <w:spacing w:after="0" w:line="198" w:lineRule="auto"/>
        <w:rPr>
          <w:sz w:val="20"/>
          <w:szCs w:val="20"/>
          <w:color w:val="auto"/>
        </w:rPr>
      </w:pPr>
      <w:r>
        <w:rPr>
          <w:rFonts w:ascii="Arial" w:cs="Arial" w:eastAsia="Arial" w:hAnsi="Arial"/>
          <w:sz w:val="18"/>
          <w:szCs w:val="18"/>
          <w:b w:val="1"/>
          <w:bCs w:val="1"/>
          <w:color w:val="auto"/>
        </w:rPr>
        <w:t>132 Derech Menachem Begin, 39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Aviv 6701101 Israel</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 Yaron Daniely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Azrieli Triangle Building</w:t>
      </w:r>
    </w:p>
    <w:p>
      <w:pPr>
        <w:jc w:val="center"/>
        <w:spacing w:after="0" w:line="186" w:lineRule="auto"/>
        <w:rPr>
          <w:sz w:val="20"/>
          <w:szCs w:val="20"/>
          <w:color w:val="auto"/>
        </w:rPr>
      </w:pPr>
      <w:r>
        <w:rPr>
          <w:rFonts w:ascii="Arial" w:cs="Arial" w:eastAsia="Arial" w:hAnsi="Arial"/>
          <w:sz w:val="18"/>
          <w:szCs w:val="18"/>
          <w:b w:val="1"/>
          <w:bCs w:val="1"/>
          <w:color w:val="auto"/>
        </w:rPr>
        <w:t>132 Derech Menachem Begin, 39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Tel Aviv 6701101 Israel</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+972.72.220.4661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Telephone and/or Facsimile number and Address of Company Contact Person)</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ectPr>
          <w:pgSz w:w="11900" w:h="16838" w:orient="portrait"/>
          <w:cols w:equalWidth="0" w:num="1">
            <w:col w:w="11420"/>
          </w:cols>
          <w:pgMar w:left="240" w:top="445" w:right="239" w:bottom="0" w:gutter="0" w:footer="0" w:header="0"/>
        </w:sectPr>
      </w:pP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Title of each class</w:t>
      </w:r>
    </w:p>
    <w:p>
      <w:pPr>
        <w:spacing w:after="0"/>
        <w:rPr>
          <w:sz w:val="20"/>
          <w:szCs w:val="20"/>
          <w:color w:val="auto"/>
        </w:rPr>
      </w:pPr>
      <w:r>
        <w:rPr>
          <w:rFonts w:ascii="Arial" w:cs="Arial" w:eastAsia="Arial" w:hAnsi="Arial"/>
          <w:sz w:val="16"/>
          <w:szCs w:val="16"/>
          <w:color w:val="auto"/>
        </w:rPr>
        <w:t>Ordinary Shares, par value of NIS 0.01</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Nasdaq Global Market</w:t>
      </w:r>
    </w:p>
    <w:p>
      <w:pPr>
        <w:spacing w:after="0" w:line="196" w:lineRule="exact"/>
        <w:rPr>
          <w:sz w:val="24"/>
          <w:szCs w:val="24"/>
          <w:color w:val="auto"/>
        </w:rPr>
      </w:pPr>
    </w:p>
    <w:p>
      <w:pPr>
        <w:sectPr>
          <w:pgSz w:w="11900" w:h="16838" w:orient="portrait"/>
          <w:cols w:equalWidth="0" w:num="2">
            <w:col w:w="5240" w:space="720"/>
            <w:col w:w="5460"/>
          </w:cols>
          <w:pgMar w:left="240" w:top="445" w:right="239" w:bottom="0" w:gutter="0" w:footer="0" w:header="0"/>
          <w:type w:val="continuous"/>
        </w:sectPr>
      </w:pPr>
    </w:p>
    <w:p>
      <w:pPr>
        <w:spacing w:after="0"/>
        <w:rPr>
          <w:sz w:val="20"/>
          <w:szCs w:val="20"/>
          <w:color w:val="auto"/>
        </w:rPr>
      </w:pPr>
      <w:r>
        <w:rPr>
          <w:rFonts w:ascii="Arial" w:cs="Arial" w:eastAsia="Arial" w:hAnsi="Arial"/>
          <w:sz w:val="18"/>
          <w:szCs w:val="18"/>
          <w:color w:val="auto"/>
        </w:rPr>
        <w:t>Securities registered or to be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4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27,560,920 Ordinary Shares, par value NIS 0.01 per share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well-known seasoned issuer, as defined in Rule 405 of the Securities Act.</w:t>
      </w:r>
    </w:p>
    <w:p>
      <w:pPr>
        <w:spacing w:after="0" w:line="193" w:lineRule="exact"/>
        <w:rPr>
          <w:sz w:val="24"/>
          <w:szCs w:val="24"/>
          <w:color w:val="auto"/>
        </w:rPr>
      </w:pPr>
    </w:p>
    <w:p>
      <w:pPr>
        <w:ind w:left="660"/>
        <w:spacing w:after="0" w:line="207" w:lineRule="exact"/>
        <w:tabs>
          <w:tab w:leader="none" w:pos="1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258"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4"/>
          <w:szCs w:val="24"/>
          <w:color w:val="auto"/>
        </w:rPr>
      </w:pPr>
    </w:p>
    <w:p>
      <w:pPr>
        <w:ind w:left="660"/>
        <w:spacing w:after="0" w:line="207" w:lineRule="exact"/>
        <w:tabs>
          <w:tab w:leader="none" w:pos="1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258"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660"/>
        <w:spacing w:after="0" w:line="207" w:lineRule="exact"/>
        <w:tabs>
          <w:tab w:leader="none" w:pos="1560" w:val="left"/>
        </w:tabs>
        <w:rPr>
          <w:sz w:val="20"/>
          <w:szCs w:val="20"/>
          <w:color w:val="auto"/>
        </w:rPr>
      </w:pPr>
      <w:r>
        <w:rPr>
          <w:rFonts w:ascii="Arial" w:cs="Arial" w:eastAsia="Arial" w:hAnsi="Arial"/>
          <w:sz w:val="18"/>
          <w:szCs w:val="18"/>
          <w:color w:val="auto"/>
        </w:rPr>
        <w:t>x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258"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9" w:lineRule="exact"/>
        <w:rPr>
          <w:sz w:val="24"/>
          <w:szCs w:val="24"/>
          <w:color w:val="auto"/>
        </w:rPr>
      </w:pPr>
    </w:p>
    <w:p>
      <w:pPr>
        <w:ind w:left="660"/>
        <w:spacing w:after="0" w:line="207" w:lineRule="exact"/>
        <w:tabs>
          <w:tab w:leader="none" w:pos="1560" w:val="left"/>
        </w:tabs>
        <w:rPr>
          <w:sz w:val="20"/>
          <w:szCs w:val="20"/>
          <w:color w:val="auto"/>
        </w:rPr>
      </w:pPr>
      <w:r>
        <w:rPr>
          <w:rFonts w:ascii="Arial" w:cs="Arial" w:eastAsia="Arial" w:hAnsi="Arial"/>
          <w:sz w:val="18"/>
          <w:szCs w:val="18"/>
          <w:color w:val="auto"/>
        </w:rPr>
        <w:t>x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(as defined in Rule 12b-2 of the Act).</w:t>
      </w:r>
    </w:p>
    <w:p>
      <w:pPr>
        <w:spacing w:after="0" w:line="216" w:lineRule="exact"/>
        <w:rPr>
          <w:sz w:val="24"/>
          <w:szCs w:val="24"/>
          <w:color w:val="auto"/>
        </w:rPr>
      </w:pPr>
    </w:p>
    <w:p>
      <w:pPr>
        <w:ind w:left="660"/>
        <w:spacing w:after="0" w:line="207" w:lineRule="exact"/>
        <w:tabs>
          <w:tab w:leader="none" w:pos="2960" w:val="left"/>
          <w:tab w:leader="none" w:pos="48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p>
      <w:pPr>
        <w:spacing w:after="0" w:line="22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ectPr>
          <w:pgSz w:w="11900" w:h="16838" w:orient="portrait"/>
          <w:cols w:equalWidth="0" w:num="1">
            <w:col w:w="11420"/>
          </w:cols>
          <w:pgMar w:left="240" w:top="445" w:right="239" w:bottom="0" w:gutter="0" w:footer="0" w:header="0"/>
          <w:type w:val="continuous"/>
        </w:sectPr>
      </w:pPr>
    </w:p>
    <w:bookmarkStart w:id="1" w:name="page2"/>
    <w:bookmarkEnd w:id="1"/>
    <w:p>
      <w:pPr>
        <w:ind w:left="660"/>
        <w:spacing w:after="0" w:line="240" w:lineRule="exact"/>
        <w:rPr>
          <w:sz w:val="20"/>
          <w:szCs w:val="20"/>
          <w:color w:val="auto"/>
        </w:rPr>
      </w:pPr>
      <w:r>
        <w:rPr>
          <w:rFonts w:ascii="Arial" w:cs="Arial" w:eastAsia="Arial" w:hAnsi="Arial"/>
          <w:sz w:val="18"/>
          <w:szCs w:val="18"/>
          <w:color w:val="auto"/>
        </w:rPr>
        <w:t xml:space="preserve">Other </w:t>
      </w:r>
      <w:r>
        <w:rPr>
          <w:rFonts w:ascii="MS PGothic" w:cs="MS PGothic" w:eastAsia="MS PGothic" w:hAnsi="MS PGothic"/>
          <w:sz w:val="18"/>
          <w:szCs w:val="18"/>
          <w:color w:val="auto"/>
        </w:rPr>
        <w:t>☐</w:t>
      </w:r>
      <w:r>
        <w:rPr>
          <w:rFonts w:ascii="Arial" w:cs="Arial" w:eastAsia="Arial" w:hAnsi="Arial"/>
          <w:sz w:val="18"/>
          <w:szCs w:val="18"/>
          <w:color w:val="auto"/>
        </w:rPr>
        <w:t xml:space="preserve"> If “Other” has been checked in response to the previous question, indicate by check mark which financial statement item the registrant has elected to follow.</w:t>
      </w:r>
    </w:p>
    <w:p>
      <w:pPr>
        <w:spacing w:after="0" w:line="170" w:lineRule="exact"/>
        <w:rPr>
          <w:sz w:val="20"/>
          <w:szCs w:val="20"/>
          <w:color w:val="auto"/>
        </w:rPr>
      </w:pPr>
    </w:p>
    <w:p>
      <w:pPr>
        <w:ind w:left="660"/>
        <w:spacing w:after="0" w:line="207" w:lineRule="exact"/>
        <w:tabs>
          <w:tab w:leader="none" w:pos="184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Item 18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ind w:left="660"/>
        <w:spacing w:after="0" w:line="207" w:lineRule="exact"/>
        <w:tabs>
          <w:tab w:leader="none" w:pos="14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Arial" w:cs="Arial" w:eastAsia="Arial" w:hAnsi="Arial"/>
          <w:sz w:val="18"/>
          <w:szCs w:val="18"/>
          <w:color w:val="auto"/>
        </w:rPr>
        <w:t>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gridSpan w:val="14"/>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840" w:type="dxa"/>
            <w:vAlign w:val="bottom"/>
            <w:gridSpan w:val="6"/>
          </w:tcPr>
          <w:p>
            <w:pPr>
              <w:spacing w:after="0"/>
              <w:rPr>
                <w:sz w:val="20"/>
                <w:szCs w:val="20"/>
                <w:color w:val="auto"/>
              </w:rPr>
            </w:pPr>
            <w:r>
              <w:rPr>
                <w:rFonts w:ascii="Arial" w:cs="Arial" w:eastAsia="Arial" w:hAnsi="Arial"/>
                <w:sz w:val="18"/>
                <w:szCs w:val="18"/>
                <w:b w:val="1"/>
                <w:bCs w:val="1"/>
                <w:color w:val="auto"/>
              </w:rPr>
              <w:t>Item Number</w:t>
            </w:r>
          </w:p>
        </w:tc>
        <w:tc>
          <w:tcPr>
            <w:tcW w:w="2920" w:type="dxa"/>
            <w:vAlign w:val="bottom"/>
            <w:gridSpan w:val="14"/>
          </w:tcPr>
          <w:p>
            <w:pPr>
              <w:spacing w:after="0"/>
              <w:rPr>
                <w:sz w:val="20"/>
                <w:szCs w:val="20"/>
                <w:color w:val="auto"/>
              </w:rPr>
            </w:pPr>
            <w:r>
              <w:rPr>
                <w:rFonts w:ascii="Arial" w:cs="Arial" w:eastAsia="Arial" w:hAnsi="Arial"/>
                <w:sz w:val="18"/>
                <w:szCs w:val="18"/>
                <w:b w:val="1"/>
                <w:bCs w:val="1"/>
                <w:color w:val="auto"/>
              </w:rPr>
              <w:t>Title</w:t>
            </w:r>
          </w:p>
        </w:tc>
        <w:tc>
          <w:tcPr>
            <w:tcW w:w="1920" w:type="dxa"/>
            <w:vAlign w:val="bottom"/>
            <w:tcBorders>
              <w:top w:val="single" w:sz="8" w:color="auto"/>
            </w:tcBorders>
            <w:gridSpan w:val="9"/>
          </w:tcPr>
          <w:p>
            <w:pPr>
              <w:spacing w:after="0"/>
              <w:rPr>
                <w:sz w:val="24"/>
                <w:szCs w:val="24"/>
                <w:color w:val="auto"/>
              </w:rPr>
            </w:pPr>
          </w:p>
        </w:tc>
        <w:tc>
          <w:tcPr>
            <w:tcW w:w="3600" w:type="dxa"/>
            <w:vAlign w:val="bottom"/>
            <w:gridSpan w:val="4"/>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900" w:type="dxa"/>
            <w:vAlign w:val="bottom"/>
            <w:tcBorders>
              <w:bottom w:val="single" w:sz="8" w:color="0000EE"/>
            </w:tcBorders>
            <w:shd w:val="clear" w:color="auto" w:fill="CCEEFF"/>
          </w:tcPr>
          <w:p>
            <w:pPr>
              <w:spacing w:after="0" w:line="162" w:lineRule="exact"/>
              <w:rPr>
                <w:rFonts w:ascii="Arial" w:cs="Arial" w:eastAsia="Arial" w:hAnsi="Arial"/>
                <w:sz w:val="18"/>
                <w:szCs w:val="18"/>
                <w:b w:val="1"/>
                <w:bCs w:val="1"/>
                <w:color w:val="0000EE"/>
                <w:w w:val="94"/>
              </w:rPr>
            </w:pPr>
            <w:hyperlink w:anchor="page6">
              <w:r>
                <w:rPr>
                  <w:rFonts w:ascii="Arial" w:cs="Arial" w:eastAsia="Arial" w:hAnsi="Arial"/>
                  <w:sz w:val="18"/>
                  <w:szCs w:val="18"/>
                  <w:b w:val="1"/>
                  <w:bCs w:val="1"/>
                  <w:color w:val="0000EE"/>
                  <w:w w:val="94"/>
                </w:rPr>
                <w:t>PART ONE</w:t>
              </w:r>
            </w:hyperlink>
          </w:p>
        </w:tc>
        <w:tc>
          <w:tcPr>
            <w:tcW w:w="920" w:type="dxa"/>
            <w:vAlign w:val="bottom"/>
            <w:tcBorders>
              <w:bottom w:val="single" w:sz="8" w:color="CCEEFF"/>
            </w:tcBorders>
            <w:gridSpan w:val="4"/>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2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gridSpan w:val="5"/>
          </w:tcPr>
          <w:p>
            <w:pPr>
              <w:spacing w:after="0" w:line="162" w:lineRule="exact"/>
              <w:rPr>
                <w:sz w:val="20"/>
                <w:szCs w:val="20"/>
                <w:color w:val="auto"/>
              </w:rPr>
            </w:pPr>
            <w:r>
              <w:rPr>
                <w:rFonts w:ascii="Arial" w:cs="Arial" w:eastAsia="Arial" w:hAnsi="Arial"/>
                <w:sz w:val="18"/>
                <w:szCs w:val="18"/>
                <w:color w:val="auto"/>
              </w:rPr>
              <w:t>Item 1.</w:t>
            </w:r>
          </w:p>
        </w:tc>
        <w:tc>
          <w:tcPr>
            <w:tcW w:w="8440" w:type="dxa"/>
            <w:vAlign w:val="bottom"/>
            <w:gridSpan w:val="27"/>
          </w:tcPr>
          <w:p>
            <w:pPr>
              <w:spacing w:after="0" w:line="162" w:lineRule="exact"/>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advisers</w:t>
              </w:r>
            </w:hyperlink>
          </w:p>
        </w:tc>
        <w:tc>
          <w:tcPr>
            <w:tcW w:w="1140" w:type="dxa"/>
            <w:vAlign w:val="bottom"/>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gridSpan w:val="5"/>
            <w:shd w:val="clear" w:color="auto" w:fill="CCEEFF"/>
          </w:tcPr>
          <w:p>
            <w:pPr>
              <w:spacing w:after="0" w:line="162" w:lineRule="exact"/>
              <w:rPr>
                <w:sz w:val="20"/>
                <w:szCs w:val="20"/>
                <w:color w:val="auto"/>
              </w:rPr>
            </w:pPr>
            <w:r>
              <w:rPr>
                <w:rFonts w:ascii="Arial" w:cs="Arial" w:eastAsia="Arial" w:hAnsi="Arial"/>
                <w:sz w:val="18"/>
                <w:szCs w:val="18"/>
                <w:color w:val="auto"/>
              </w:rPr>
              <w:t>Item 2.</w:t>
            </w:r>
          </w:p>
        </w:tc>
        <w:tc>
          <w:tcPr>
            <w:tcW w:w="3860" w:type="dxa"/>
            <w:vAlign w:val="bottom"/>
            <w:tcBorders>
              <w:top w:val="single" w:sz="8" w:color="0000EE"/>
            </w:tcBorders>
            <w:gridSpan w:val="20"/>
            <w:shd w:val="clear" w:color="auto" w:fill="CCEEFF"/>
          </w:tcPr>
          <w:p>
            <w:pPr>
              <w:spacing w:after="0" w:line="162" w:lineRule="exact"/>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4580" w:type="dxa"/>
            <w:vAlign w:val="bottom"/>
            <w:gridSpan w:val="7"/>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tcBorders>
              <w:top w:val="single" w:sz="8" w:color="CCEEFF"/>
            </w:tcBorders>
            <w:gridSpan w:val="5"/>
          </w:tcPr>
          <w:p>
            <w:pPr>
              <w:spacing w:after="0" w:line="162" w:lineRule="exact"/>
              <w:rPr>
                <w:sz w:val="20"/>
                <w:szCs w:val="20"/>
                <w:color w:val="auto"/>
              </w:rPr>
            </w:pPr>
            <w:r>
              <w:rPr>
                <w:rFonts w:ascii="Arial" w:cs="Arial" w:eastAsia="Arial" w:hAnsi="Arial"/>
                <w:sz w:val="18"/>
                <w:szCs w:val="18"/>
                <w:color w:val="auto"/>
              </w:rPr>
              <w:t>Item 3.</w:t>
            </w:r>
          </w:p>
        </w:tc>
        <w:tc>
          <w:tcPr>
            <w:tcW w:w="1200" w:type="dxa"/>
            <w:vAlign w:val="bottom"/>
            <w:tcBorders>
              <w:top w:val="single" w:sz="8" w:color="0000EE"/>
              <w:bottom w:val="single" w:sz="8" w:color="0000EE"/>
            </w:tcBorders>
            <w:gridSpan w:val="3"/>
          </w:tcPr>
          <w:p>
            <w:pPr>
              <w:spacing w:after="0" w:line="162"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Key information</w:t>
              </w:r>
            </w:hyperlink>
          </w:p>
        </w:tc>
        <w:tc>
          <w:tcPr>
            <w:tcW w:w="1560" w:type="dxa"/>
            <w:vAlign w:val="bottom"/>
            <w:tcBorders>
              <w:top w:val="single" w:sz="8" w:color="0000EE"/>
            </w:tcBorders>
            <w:gridSpan w:val="10"/>
          </w:tcPr>
          <w:p>
            <w:pPr>
              <w:spacing w:after="0"/>
              <w:rPr>
                <w:sz w:val="14"/>
                <w:szCs w:val="14"/>
                <w:color w:val="auto"/>
              </w:rPr>
            </w:pPr>
          </w:p>
        </w:tc>
        <w:tc>
          <w:tcPr>
            <w:tcW w:w="5680" w:type="dxa"/>
            <w:vAlign w:val="bottom"/>
            <w:tcBorders>
              <w:top w:val="single" w:sz="8" w:color="CCEEFF"/>
            </w:tcBorders>
            <w:gridSpan w:val="14"/>
          </w:tcPr>
          <w:p>
            <w:pPr>
              <w:spacing w:after="0"/>
              <w:rPr>
                <w:sz w:val="14"/>
                <w:szCs w:val="14"/>
                <w:color w:val="auto"/>
              </w:rPr>
            </w:pPr>
          </w:p>
        </w:tc>
        <w:tc>
          <w:tcPr>
            <w:tcW w:w="11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tcBorders>
              <w:bottom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auto"/>
              </w:rPr>
              <w:t>Item 4.</w:t>
            </w:r>
          </w:p>
        </w:tc>
        <w:tc>
          <w:tcPr>
            <w:tcW w:w="2060" w:type="dxa"/>
            <w:vAlign w:val="bottom"/>
            <w:tcBorders>
              <w:bottom w:val="single" w:sz="8" w:color="0000EE"/>
            </w:tcBorders>
            <w:gridSpan w:val="10"/>
            <w:shd w:val="clear" w:color="auto" w:fill="CCEEFF"/>
          </w:tcPr>
          <w:p>
            <w:pPr>
              <w:spacing w:after="0" w:line="162"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Information on the company</w:t>
              </w:r>
            </w:hyperlink>
          </w:p>
        </w:tc>
        <w:tc>
          <w:tcPr>
            <w:tcW w:w="6380" w:type="dxa"/>
            <w:vAlign w:val="bottom"/>
            <w:tcBorders>
              <w:bottom w:val="single" w:sz="8" w:color="CCEEFF"/>
            </w:tcBorders>
            <w:gridSpan w:val="17"/>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gridSpan w:val="5"/>
          </w:tcPr>
          <w:p>
            <w:pPr>
              <w:spacing w:after="0" w:line="162" w:lineRule="exact"/>
              <w:rPr>
                <w:sz w:val="20"/>
                <w:szCs w:val="20"/>
                <w:color w:val="auto"/>
              </w:rPr>
            </w:pPr>
            <w:r>
              <w:rPr>
                <w:rFonts w:ascii="Arial" w:cs="Arial" w:eastAsia="Arial" w:hAnsi="Arial"/>
                <w:sz w:val="18"/>
                <w:szCs w:val="18"/>
                <w:color w:val="auto"/>
              </w:rPr>
              <w:t>Item 4A.</w:t>
            </w:r>
          </w:p>
        </w:tc>
        <w:tc>
          <w:tcPr>
            <w:tcW w:w="8440" w:type="dxa"/>
            <w:vAlign w:val="bottom"/>
            <w:gridSpan w:val="27"/>
          </w:tcPr>
          <w:p>
            <w:pPr>
              <w:spacing w:after="0" w:line="162" w:lineRule="exact"/>
              <w:rPr>
                <w:rFonts w:ascii="Arial" w:cs="Arial" w:eastAsia="Arial" w:hAnsi="Arial"/>
                <w:sz w:val="18"/>
                <w:szCs w:val="18"/>
                <w:color w:val="0000EE"/>
              </w:rPr>
            </w:pPr>
            <w:hyperlink w:anchor="page45">
              <w:r>
                <w:rPr>
                  <w:rFonts w:ascii="Arial" w:cs="Arial" w:eastAsia="Arial" w:hAnsi="Arial"/>
                  <w:sz w:val="18"/>
                  <w:szCs w:val="18"/>
                  <w:color w:val="0000EE"/>
                </w:rPr>
                <w:t>Unresolved staff comments</w:t>
              </w:r>
            </w:hyperlink>
          </w:p>
        </w:tc>
        <w:tc>
          <w:tcPr>
            <w:tcW w:w="1140" w:type="dxa"/>
            <w:vAlign w:val="bottom"/>
          </w:tcPr>
          <w:p>
            <w:pPr>
              <w:jc w:val="right"/>
              <w:spacing w:after="0" w:line="162"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1820" w:type="dxa"/>
            <w:vAlign w:val="bottom"/>
            <w:gridSpan w:val="5"/>
            <w:shd w:val="clear" w:color="auto" w:fill="CCEEFF"/>
          </w:tcPr>
          <w:p>
            <w:pPr>
              <w:spacing w:after="0" w:line="162" w:lineRule="exact"/>
              <w:rPr>
                <w:sz w:val="20"/>
                <w:szCs w:val="20"/>
                <w:color w:val="auto"/>
              </w:rPr>
            </w:pPr>
            <w:r>
              <w:rPr>
                <w:rFonts w:ascii="Arial" w:cs="Arial" w:eastAsia="Arial" w:hAnsi="Arial"/>
                <w:sz w:val="18"/>
                <w:szCs w:val="18"/>
                <w:color w:val="auto"/>
              </w:rPr>
              <w:t>Item 5.</w:t>
            </w:r>
          </w:p>
        </w:tc>
        <w:tc>
          <w:tcPr>
            <w:tcW w:w="8440" w:type="dxa"/>
            <w:vAlign w:val="bottom"/>
            <w:gridSpan w:val="27"/>
            <w:shd w:val="clear" w:color="auto" w:fill="CCEEFF"/>
          </w:tcPr>
          <w:p>
            <w:pPr>
              <w:spacing w:after="0" w:line="162" w:lineRule="exact"/>
              <w:rPr>
                <w:rFonts w:ascii="Arial" w:cs="Arial" w:eastAsia="Arial" w:hAnsi="Arial"/>
                <w:sz w:val="18"/>
                <w:szCs w:val="18"/>
                <w:color w:val="0000EE"/>
              </w:rPr>
            </w:pPr>
            <w:hyperlink w:anchor="page46">
              <w:r>
                <w:rPr>
                  <w:rFonts w:ascii="Arial" w:cs="Arial" w:eastAsia="Arial" w:hAnsi="Arial"/>
                  <w:sz w:val="18"/>
                  <w:szCs w:val="18"/>
                  <w:color w:val="0000EE"/>
                </w:rPr>
                <w:t>Operating and financial review and prospects</w:t>
              </w:r>
            </w:hyperlink>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tcBorders>
              <w:right w:val="single" w:sz="8" w:color="CCEEFF"/>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1820" w:type="dxa"/>
            <w:vAlign w:val="bottom"/>
            <w:gridSpan w:val="5"/>
          </w:tcPr>
          <w:p>
            <w:pPr>
              <w:spacing w:after="0" w:line="162" w:lineRule="exact"/>
              <w:rPr>
                <w:sz w:val="20"/>
                <w:szCs w:val="20"/>
                <w:color w:val="auto"/>
              </w:rPr>
            </w:pPr>
            <w:r>
              <w:rPr>
                <w:rFonts w:ascii="Arial" w:cs="Arial" w:eastAsia="Arial" w:hAnsi="Arial"/>
                <w:sz w:val="18"/>
                <w:szCs w:val="18"/>
                <w:color w:val="auto"/>
              </w:rPr>
              <w:t>Item 6.</w:t>
            </w:r>
          </w:p>
        </w:tc>
        <w:tc>
          <w:tcPr>
            <w:tcW w:w="8440" w:type="dxa"/>
            <w:vAlign w:val="bottom"/>
            <w:gridSpan w:val="27"/>
          </w:tcPr>
          <w:p>
            <w:pPr>
              <w:spacing w:after="0" w:line="162" w:lineRule="exact"/>
              <w:rPr>
                <w:rFonts w:ascii="Arial" w:cs="Arial" w:eastAsia="Arial" w:hAnsi="Arial"/>
                <w:sz w:val="18"/>
                <w:szCs w:val="18"/>
                <w:color w:val="0000EE"/>
              </w:rPr>
            </w:pPr>
            <w:hyperlink w:anchor="page51">
              <w:r>
                <w:rPr>
                  <w:rFonts w:ascii="Arial" w:cs="Arial" w:eastAsia="Arial" w:hAnsi="Arial"/>
                  <w:sz w:val="18"/>
                  <w:szCs w:val="18"/>
                  <w:color w:val="0000EE"/>
                </w:rPr>
                <w:t>Directors, senior management and employees</w:t>
              </w:r>
            </w:hyperlink>
          </w:p>
        </w:tc>
        <w:tc>
          <w:tcPr>
            <w:tcW w:w="1140" w:type="dxa"/>
            <w:vAlign w:val="bottom"/>
          </w:tcPr>
          <w:p>
            <w:pPr>
              <w:jc w:val="right"/>
              <w:spacing w:after="0" w:line="162"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820" w:type="dxa"/>
            <w:vAlign w:val="bottom"/>
            <w:tcBorders>
              <w:bottom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auto"/>
              </w:rPr>
              <w:t>Item 7.</w:t>
            </w:r>
          </w:p>
        </w:tc>
        <w:tc>
          <w:tcPr>
            <w:tcW w:w="3560" w:type="dxa"/>
            <w:vAlign w:val="bottom"/>
            <w:tcBorders>
              <w:bottom w:val="single" w:sz="8" w:color="0000EE"/>
            </w:tcBorders>
            <w:gridSpan w:val="18"/>
            <w:shd w:val="clear" w:color="auto" w:fill="CCEEFF"/>
          </w:tcPr>
          <w:p>
            <w:pPr>
              <w:spacing w:after="0" w:line="16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Major shareholders and related party transactions</w:t>
              </w:r>
            </w:hyperlink>
          </w:p>
        </w:tc>
        <w:tc>
          <w:tcPr>
            <w:tcW w:w="4880" w:type="dxa"/>
            <w:vAlign w:val="bottom"/>
            <w:tcBorders>
              <w:bottom w:val="single" w:sz="8" w:color="CCEEFF"/>
            </w:tcBorders>
            <w:gridSpan w:val="9"/>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gridSpan w:val="5"/>
          </w:tcPr>
          <w:p>
            <w:pPr>
              <w:spacing w:after="0" w:line="162" w:lineRule="exact"/>
              <w:rPr>
                <w:sz w:val="20"/>
                <w:szCs w:val="20"/>
                <w:color w:val="auto"/>
              </w:rPr>
            </w:pPr>
            <w:r>
              <w:rPr>
                <w:rFonts w:ascii="Arial" w:cs="Arial" w:eastAsia="Arial" w:hAnsi="Arial"/>
                <w:sz w:val="18"/>
                <w:szCs w:val="18"/>
                <w:color w:val="auto"/>
              </w:rPr>
              <w:t>Item 8.</w:t>
            </w:r>
          </w:p>
        </w:tc>
        <w:tc>
          <w:tcPr>
            <w:tcW w:w="1580" w:type="dxa"/>
            <w:vAlign w:val="bottom"/>
            <w:tcBorders>
              <w:bottom w:val="single" w:sz="8" w:color="0000EE"/>
            </w:tcBorders>
            <w:gridSpan w:val="5"/>
          </w:tcPr>
          <w:p>
            <w:pPr>
              <w:spacing w:after="0" w:line="162" w:lineRule="exact"/>
              <w:rPr>
                <w:rFonts w:ascii="Arial" w:cs="Arial" w:eastAsia="Arial" w:hAnsi="Arial"/>
                <w:sz w:val="18"/>
                <w:szCs w:val="18"/>
                <w:color w:val="0000EE"/>
                <w:w w:val="93"/>
              </w:rPr>
            </w:pPr>
            <w:hyperlink w:anchor="page63">
              <w:r>
                <w:rPr>
                  <w:rFonts w:ascii="Arial" w:cs="Arial" w:eastAsia="Arial" w:hAnsi="Arial"/>
                  <w:sz w:val="18"/>
                  <w:szCs w:val="18"/>
                  <w:color w:val="0000EE"/>
                  <w:w w:val="93"/>
                </w:rPr>
                <w:t>Financial Information</w:t>
              </w:r>
            </w:hyperlink>
          </w:p>
        </w:tc>
        <w:tc>
          <w:tcPr>
            <w:tcW w:w="6860" w:type="dxa"/>
            <w:vAlign w:val="bottom"/>
            <w:gridSpan w:val="22"/>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tcBorders>
              <w:bottom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auto"/>
              </w:rPr>
              <w:t>Item 9.</w:t>
            </w:r>
          </w:p>
        </w:tc>
        <w:tc>
          <w:tcPr>
            <w:tcW w:w="1480" w:type="dxa"/>
            <w:vAlign w:val="bottom"/>
            <w:tcBorders>
              <w:bottom w:val="single" w:sz="8" w:color="0000EE"/>
            </w:tcBorders>
            <w:gridSpan w:val="4"/>
            <w:shd w:val="clear" w:color="auto" w:fill="CCEEFF"/>
          </w:tcPr>
          <w:p>
            <w:pPr>
              <w:spacing w:after="0" w:line="162"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The offer and listing</w:t>
              </w:r>
            </w:hyperlink>
          </w:p>
        </w:tc>
        <w:tc>
          <w:tcPr>
            <w:tcW w:w="6960" w:type="dxa"/>
            <w:vAlign w:val="bottom"/>
            <w:tcBorders>
              <w:bottom w:val="single" w:sz="8" w:color="CCEEFF"/>
            </w:tcBorders>
            <w:gridSpan w:val="23"/>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gridSpan w:val="5"/>
          </w:tcPr>
          <w:p>
            <w:pPr>
              <w:spacing w:after="0" w:line="162" w:lineRule="exact"/>
              <w:rPr>
                <w:sz w:val="20"/>
                <w:szCs w:val="20"/>
                <w:color w:val="auto"/>
              </w:rPr>
            </w:pPr>
            <w:r>
              <w:rPr>
                <w:rFonts w:ascii="Arial" w:cs="Arial" w:eastAsia="Arial" w:hAnsi="Arial"/>
                <w:sz w:val="18"/>
                <w:szCs w:val="18"/>
                <w:color w:val="auto"/>
              </w:rPr>
              <w:t>Item 10.</w:t>
            </w:r>
          </w:p>
        </w:tc>
        <w:tc>
          <w:tcPr>
            <w:tcW w:w="8440" w:type="dxa"/>
            <w:vAlign w:val="bottom"/>
            <w:gridSpan w:val="27"/>
          </w:tcPr>
          <w:p>
            <w:pPr>
              <w:spacing w:after="0" w:line="162" w:lineRule="exact"/>
              <w:rPr>
                <w:rFonts w:ascii="Arial" w:cs="Arial" w:eastAsia="Arial" w:hAnsi="Arial"/>
                <w:sz w:val="18"/>
                <w:szCs w:val="18"/>
                <w:color w:val="0000EE"/>
              </w:rPr>
            </w:pPr>
            <w:hyperlink w:anchor="page65">
              <w:r>
                <w:rPr>
                  <w:rFonts w:ascii="Arial" w:cs="Arial" w:eastAsia="Arial" w:hAnsi="Arial"/>
                  <w:sz w:val="18"/>
                  <w:szCs w:val="18"/>
                  <w:color w:val="0000EE"/>
                </w:rPr>
                <w:t>Additional information</w:t>
              </w:r>
            </w:hyperlink>
          </w:p>
        </w:tc>
        <w:tc>
          <w:tcPr>
            <w:tcW w:w="1140" w:type="dxa"/>
            <w:vAlign w:val="bottom"/>
          </w:tcPr>
          <w:p>
            <w:pPr>
              <w:jc w:val="right"/>
              <w:spacing w:after="0" w:line="162"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820" w:type="dxa"/>
            <w:vAlign w:val="bottom"/>
            <w:tcBorders>
              <w:bottom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auto"/>
              </w:rPr>
              <w:t>Item 11.</w:t>
            </w:r>
          </w:p>
        </w:tc>
        <w:tc>
          <w:tcPr>
            <w:tcW w:w="4160" w:type="dxa"/>
            <w:vAlign w:val="bottom"/>
            <w:tcBorders>
              <w:bottom w:val="single" w:sz="8" w:color="0000EE"/>
            </w:tcBorders>
            <w:gridSpan w:val="21"/>
            <w:shd w:val="clear" w:color="auto" w:fill="CCEEFF"/>
          </w:tcPr>
          <w:p>
            <w:pPr>
              <w:spacing w:after="0" w:line="162"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Quantitative and qualitative disclosures about market risk</w:t>
              </w:r>
            </w:hyperlink>
          </w:p>
        </w:tc>
        <w:tc>
          <w:tcPr>
            <w:tcW w:w="4280" w:type="dxa"/>
            <w:vAlign w:val="bottom"/>
            <w:tcBorders>
              <w:bottom w:val="single" w:sz="8" w:color="CCEEFF"/>
            </w:tcBorders>
            <w:gridSpan w:val="6"/>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gridSpan w:val="5"/>
          </w:tcPr>
          <w:p>
            <w:pPr>
              <w:spacing w:after="0" w:line="162" w:lineRule="exact"/>
              <w:rPr>
                <w:sz w:val="20"/>
                <w:szCs w:val="20"/>
                <w:color w:val="auto"/>
              </w:rPr>
            </w:pPr>
            <w:r>
              <w:rPr>
                <w:rFonts w:ascii="Arial" w:cs="Arial" w:eastAsia="Arial" w:hAnsi="Arial"/>
                <w:sz w:val="18"/>
                <w:szCs w:val="18"/>
                <w:color w:val="auto"/>
              </w:rPr>
              <w:t>Item 12.</w:t>
            </w:r>
          </w:p>
        </w:tc>
        <w:tc>
          <w:tcPr>
            <w:tcW w:w="8440" w:type="dxa"/>
            <w:vAlign w:val="bottom"/>
            <w:gridSpan w:val="27"/>
          </w:tcPr>
          <w:p>
            <w:pPr>
              <w:spacing w:after="0" w:line="162"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securities other than equity securities</w:t>
              </w:r>
            </w:hyperlink>
          </w:p>
        </w:tc>
        <w:tc>
          <w:tcPr>
            <w:tcW w:w="1140" w:type="dxa"/>
            <w:vAlign w:val="bottom"/>
          </w:tcPr>
          <w:p>
            <w:pPr>
              <w:jc w:val="right"/>
              <w:spacing w:after="0" w:line="162"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top w:val="single" w:sz="8" w:color="0000EE"/>
            </w:tcBorders>
            <w:shd w:val="clear" w:color="auto" w:fill="CCEEFF"/>
          </w:tcPr>
          <w:p>
            <w:pPr>
              <w:spacing w:after="0"/>
              <w:rPr>
                <w:sz w:val="16"/>
                <w:szCs w:val="16"/>
                <w:color w:val="auto"/>
              </w:rPr>
            </w:pPr>
          </w:p>
        </w:tc>
        <w:tc>
          <w:tcPr>
            <w:tcW w:w="440" w:type="dxa"/>
            <w:vAlign w:val="bottom"/>
            <w:tcBorders>
              <w:top w:val="single" w:sz="8" w:color="0000EE"/>
            </w:tcBorders>
            <w:shd w:val="clear" w:color="auto" w:fill="CCEEFF"/>
          </w:tcPr>
          <w:p>
            <w:pPr>
              <w:spacing w:after="0"/>
              <w:rPr>
                <w:sz w:val="16"/>
                <w:szCs w:val="16"/>
                <w:color w:val="auto"/>
              </w:rPr>
            </w:pPr>
          </w:p>
        </w:tc>
        <w:tc>
          <w:tcPr>
            <w:tcW w:w="160" w:type="dxa"/>
            <w:vAlign w:val="bottom"/>
            <w:tcBorders>
              <w:top w:val="single" w:sz="8" w:color="0000EE"/>
            </w:tcBorders>
            <w:shd w:val="clear" w:color="auto" w:fill="CCEEFF"/>
          </w:tcPr>
          <w:p>
            <w:pPr>
              <w:spacing w:after="0"/>
              <w:rPr>
                <w:sz w:val="16"/>
                <w:szCs w:val="16"/>
                <w:color w:val="auto"/>
              </w:rPr>
            </w:pPr>
          </w:p>
        </w:tc>
        <w:tc>
          <w:tcPr>
            <w:tcW w:w="28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right w:val="single" w:sz="8" w:color="CCEEFF"/>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2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320" w:type="dxa"/>
            <w:vAlign w:val="bottom"/>
            <w:tcBorders>
              <w:top w:val="single" w:sz="8" w:color="0000EE"/>
            </w:tcBorders>
            <w:shd w:val="clear" w:color="auto" w:fill="CCEEFF"/>
          </w:tcPr>
          <w:p>
            <w:pPr>
              <w:spacing w:after="0"/>
              <w:rPr>
                <w:sz w:val="16"/>
                <w:szCs w:val="16"/>
                <w:color w:val="auto"/>
              </w:rPr>
            </w:pPr>
          </w:p>
        </w:tc>
        <w:tc>
          <w:tcPr>
            <w:tcW w:w="36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160" w:type="dxa"/>
            <w:vAlign w:val="bottom"/>
            <w:tcBorders>
              <w:top w:val="single" w:sz="8" w:color="0000EE"/>
            </w:tcBorders>
            <w:shd w:val="clear" w:color="auto" w:fill="CCEEFF"/>
          </w:tcPr>
          <w:p>
            <w:pPr>
              <w:spacing w:after="0"/>
              <w:rPr>
                <w:sz w:val="16"/>
                <w:szCs w:val="16"/>
                <w:color w:val="auto"/>
              </w:rPr>
            </w:pPr>
          </w:p>
        </w:tc>
        <w:tc>
          <w:tcPr>
            <w:tcW w:w="220" w:type="dxa"/>
            <w:vAlign w:val="bottom"/>
            <w:tcBorders>
              <w:top w:val="single" w:sz="8" w:color="0000EE"/>
            </w:tcBorders>
            <w:shd w:val="clear" w:color="auto" w:fill="CCEEFF"/>
          </w:tcPr>
          <w:p>
            <w:pPr>
              <w:spacing w:after="0"/>
              <w:rPr>
                <w:sz w:val="16"/>
                <w:szCs w:val="16"/>
                <w:color w:val="auto"/>
              </w:rPr>
            </w:pPr>
          </w:p>
        </w:tc>
        <w:tc>
          <w:tcPr>
            <w:tcW w:w="140" w:type="dxa"/>
            <w:vAlign w:val="bottom"/>
            <w:tcBorders>
              <w:top w:val="single" w:sz="8" w:color="0000EE"/>
              <w:right w:val="single" w:sz="8" w:color="CCEEFF"/>
            </w:tcBorders>
            <w:shd w:val="clear" w:color="auto" w:fill="CCEEFF"/>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200" w:type="dxa"/>
            <w:vAlign w:val="bottom"/>
            <w:tcBorders>
              <w:top w:val="single" w:sz="8" w:color="0000EE"/>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820" w:type="dxa"/>
            <w:vAlign w:val="bottom"/>
            <w:gridSpan w:val="5"/>
          </w:tcPr>
          <w:p>
            <w:pPr>
              <w:spacing w:after="0" w:line="162"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PART TWO</w:t>
              </w:r>
            </w:hyperlink>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Borders>
              <w:top w:val="single" w:sz="8" w:color="0000EE"/>
              <w:bottom w:val="single" w:sz="8" w:color="CCEEFF"/>
            </w:tcBorders>
            <w:gridSpan w:val="2"/>
            <w:shd w:val="clear" w:color="auto" w:fill="CCEEFF"/>
          </w:tcPr>
          <w:p>
            <w:pPr>
              <w:spacing w:after="0" w:line="162" w:lineRule="exact"/>
              <w:rPr>
                <w:sz w:val="20"/>
                <w:szCs w:val="20"/>
                <w:color w:val="auto"/>
              </w:rPr>
            </w:pPr>
            <w:r>
              <w:rPr>
                <w:rFonts w:ascii="Arial" w:cs="Arial" w:eastAsia="Arial" w:hAnsi="Arial"/>
                <w:sz w:val="18"/>
                <w:szCs w:val="18"/>
                <w:color w:val="auto"/>
              </w:rPr>
              <w:t>Item 13.</w:t>
            </w:r>
          </w:p>
        </w:tc>
        <w:tc>
          <w:tcPr>
            <w:tcW w:w="880" w:type="dxa"/>
            <w:vAlign w:val="bottom"/>
            <w:tcBorders>
              <w:bottom w:val="single" w:sz="8" w:color="CCEEFF"/>
            </w:tcBorders>
            <w:gridSpan w:val="3"/>
            <w:shd w:val="clear" w:color="auto" w:fill="CCEEFF"/>
          </w:tcPr>
          <w:p>
            <w:pPr>
              <w:spacing w:after="0"/>
              <w:rPr>
                <w:sz w:val="14"/>
                <w:szCs w:val="14"/>
                <w:color w:val="auto"/>
              </w:rPr>
            </w:pPr>
          </w:p>
        </w:tc>
        <w:tc>
          <w:tcPr>
            <w:tcW w:w="3460" w:type="dxa"/>
            <w:vAlign w:val="bottom"/>
            <w:tcBorders>
              <w:bottom w:val="single" w:sz="8" w:color="0000EE"/>
            </w:tcBorders>
            <w:gridSpan w:val="17"/>
            <w:shd w:val="clear" w:color="auto" w:fill="CCEEFF"/>
          </w:tcPr>
          <w:p>
            <w:pPr>
              <w:spacing w:after="0" w:line="16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Defaults, dividend arrearages and delinquencies</w:t>
              </w:r>
            </w:hyperlink>
          </w:p>
        </w:tc>
        <w:tc>
          <w:tcPr>
            <w:tcW w:w="4980" w:type="dxa"/>
            <w:vAlign w:val="bottom"/>
            <w:tcBorders>
              <w:bottom w:val="single" w:sz="8" w:color="CCEEFF"/>
            </w:tcBorders>
            <w:gridSpan w:val="10"/>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gridSpan w:val="5"/>
          </w:tcPr>
          <w:p>
            <w:pPr>
              <w:spacing w:after="0" w:line="162" w:lineRule="exact"/>
              <w:rPr>
                <w:sz w:val="20"/>
                <w:szCs w:val="20"/>
                <w:color w:val="auto"/>
              </w:rPr>
            </w:pPr>
            <w:r>
              <w:rPr>
                <w:rFonts w:ascii="Arial" w:cs="Arial" w:eastAsia="Arial" w:hAnsi="Arial"/>
                <w:sz w:val="18"/>
                <w:szCs w:val="18"/>
                <w:color w:val="auto"/>
              </w:rPr>
              <w:t>Item 14.</w:t>
            </w:r>
          </w:p>
        </w:tc>
        <w:tc>
          <w:tcPr>
            <w:tcW w:w="8440" w:type="dxa"/>
            <w:vAlign w:val="bottom"/>
            <w:gridSpan w:val="27"/>
          </w:tcPr>
          <w:p>
            <w:pPr>
              <w:spacing w:after="0" w:line="162" w:lineRule="exact"/>
              <w:rPr>
                <w:rFonts w:ascii="Arial" w:cs="Arial" w:eastAsia="Arial" w:hAnsi="Arial"/>
                <w:sz w:val="18"/>
                <w:szCs w:val="18"/>
                <w:color w:val="0000EE"/>
              </w:rPr>
            </w:pPr>
            <w:hyperlink w:anchor="page75">
              <w:r>
                <w:rPr>
                  <w:rFonts w:ascii="Arial" w:cs="Arial" w:eastAsia="Arial" w:hAnsi="Arial"/>
                  <w:sz w:val="18"/>
                  <w:szCs w:val="18"/>
                  <w:color w:val="0000EE"/>
                </w:rPr>
                <w:t>Material modifications to the rights of security holders and use of proceeds</w:t>
              </w:r>
            </w:hyperlink>
          </w:p>
        </w:tc>
        <w:tc>
          <w:tcPr>
            <w:tcW w:w="1140" w:type="dxa"/>
            <w:vAlign w:val="bottom"/>
          </w:tcPr>
          <w:p>
            <w:pPr>
              <w:jc w:val="right"/>
              <w:spacing w:after="0" w:line="162"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gridSpan w:val="5"/>
            <w:shd w:val="clear" w:color="auto" w:fill="CCEEFF"/>
          </w:tcPr>
          <w:p>
            <w:pPr>
              <w:spacing w:after="0" w:line="162" w:lineRule="exact"/>
              <w:rPr>
                <w:sz w:val="20"/>
                <w:szCs w:val="20"/>
                <w:color w:val="auto"/>
              </w:rPr>
            </w:pPr>
            <w:r>
              <w:rPr>
                <w:rFonts w:ascii="Arial" w:cs="Arial" w:eastAsia="Arial" w:hAnsi="Arial"/>
                <w:sz w:val="18"/>
                <w:szCs w:val="18"/>
                <w:color w:val="auto"/>
              </w:rPr>
              <w:t>Item 15.</w:t>
            </w:r>
          </w:p>
        </w:tc>
        <w:tc>
          <w:tcPr>
            <w:tcW w:w="5400" w:type="dxa"/>
            <w:vAlign w:val="bottom"/>
            <w:tcBorders>
              <w:top w:val="single" w:sz="8" w:color="0000EE"/>
            </w:tcBorders>
            <w:gridSpan w:val="25"/>
            <w:shd w:val="clear" w:color="auto" w:fill="CCEEFF"/>
          </w:tcPr>
          <w:p>
            <w:pPr>
              <w:spacing w:after="0" w:line="162" w:lineRule="exact"/>
              <w:rPr>
                <w:rFonts w:ascii="Arial" w:cs="Arial" w:eastAsia="Arial" w:hAnsi="Arial"/>
                <w:sz w:val="18"/>
                <w:szCs w:val="18"/>
                <w:color w:val="0000EE"/>
              </w:rPr>
            </w:pPr>
            <w:hyperlink w:anchor="page75">
              <w:r>
                <w:rPr>
                  <w:rFonts w:ascii="Arial" w:cs="Arial" w:eastAsia="Arial" w:hAnsi="Arial"/>
                  <w:sz w:val="18"/>
                  <w:szCs w:val="18"/>
                  <w:color w:val="0000EE"/>
                </w:rPr>
                <w:t>Controls and procedures</w:t>
              </w:r>
            </w:hyperlink>
          </w:p>
        </w:tc>
        <w:tc>
          <w:tcPr>
            <w:tcW w:w="3040" w:type="dxa"/>
            <w:vAlign w:val="bottom"/>
            <w:gridSpan w:val="2"/>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820" w:type="dxa"/>
            <w:vAlign w:val="bottom"/>
            <w:gridSpan w:val="5"/>
          </w:tcPr>
          <w:p>
            <w:pPr>
              <w:spacing w:after="0" w:line="162" w:lineRule="exact"/>
              <w:rPr>
                <w:sz w:val="20"/>
                <w:szCs w:val="20"/>
                <w:color w:val="auto"/>
              </w:rPr>
            </w:pPr>
            <w:r>
              <w:rPr>
                <w:rFonts w:ascii="Arial" w:cs="Arial" w:eastAsia="Arial" w:hAnsi="Arial"/>
                <w:sz w:val="18"/>
                <w:szCs w:val="18"/>
                <w:color w:val="auto"/>
              </w:rPr>
              <w:t>Item 16A.</w:t>
            </w:r>
          </w:p>
        </w:tc>
        <w:tc>
          <w:tcPr>
            <w:tcW w:w="8440" w:type="dxa"/>
            <w:vAlign w:val="bottom"/>
            <w:gridSpan w:val="27"/>
          </w:tcPr>
          <w:p>
            <w:pPr>
              <w:spacing w:after="0" w:line="162" w:lineRule="exact"/>
              <w:rPr>
                <w:rFonts w:ascii="Arial" w:cs="Arial" w:eastAsia="Arial" w:hAnsi="Arial"/>
                <w:sz w:val="18"/>
                <w:szCs w:val="18"/>
                <w:color w:val="0000EE"/>
              </w:rPr>
            </w:pPr>
            <w:hyperlink w:anchor="page76">
              <w:r>
                <w:rPr>
                  <w:rFonts w:ascii="Arial" w:cs="Arial" w:eastAsia="Arial" w:hAnsi="Arial"/>
                  <w:sz w:val="18"/>
                  <w:szCs w:val="18"/>
                  <w:color w:val="0000EE"/>
                </w:rPr>
                <w:t>Audit committee financial expert</w:t>
              </w:r>
            </w:hyperlink>
          </w:p>
        </w:tc>
        <w:tc>
          <w:tcPr>
            <w:tcW w:w="1140" w:type="dxa"/>
            <w:vAlign w:val="bottom"/>
          </w:tcPr>
          <w:p>
            <w:pPr>
              <w:jc w:val="right"/>
              <w:spacing w:after="0" w:line="162"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gridSpan w:val="5"/>
            <w:shd w:val="clear" w:color="auto" w:fill="CCEEFF"/>
          </w:tcPr>
          <w:p>
            <w:pPr>
              <w:spacing w:after="0" w:line="162" w:lineRule="exact"/>
              <w:rPr>
                <w:sz w:val="20"/>
                <w:szCs w:val="20"/>
                <w:color w:val="auto"/>
              </w:rPr>
            </w:pPr>
            <w:r>
              <w:rPr>
                <w:rFonts w:ascii="Arial" w:cs="Arial" w:eastAsia="Arial" w:hAnsi="Arial"/>
                <w:sz w:val="18"/>
                <w:szCs w:val="18"/>
                <w:color w:val="auto"/>
              </w:rPr>
              <w:t>Item 16B.</w:t>
            </w:r>
          </w:p>
        </w:tc>
        <w:tc>
          <w:tcPr>
            <w:tcW w:w="2380" w:type="dxa"/>
            <w:vAlign w:val="bottom"/>
            <w:tcBorders>
              <w:top w:val="single" w:sz="8" w:color="0000EE"/>
            </w:tcBorders>
            <w:gridSpan w:val="11"/>
            <w:shd w:val="clear" w:color="auto" w:fill="CCEEFF"/>
          </w:tcPr>
          <w:p>
            <w:pPr>
              <w:spacing w:after="0" w:line="162" w:lineRule="exact"/>
              <w:rPr>
                <w:rFonts w:ascii="Arial" w:cs="Arial" w:eastAsia="Arial" w:hAnsi="Arial"/>
                <w:sz w:val="18"/>
                <w:szCs w:val="18"/>
                <w:color w:val="0000EE"/>
              </w:rPr>
            </w:pPr>
            <w:hyperlink w:anchor="page76">
              <w:r>
                <w:rPr>
                  <w:rFonts w:ascii="Arial" w:cs="Arial" w:eastAsia="Arial" w:hAnsi="Arial"/>
                  <w:sz w:val="18"/>
                  <w:szCs w:val="18"/>
                  <w:color w:val="0000EE"/>
                </w:rPr>
                <w:t>Code of ethics</w:t>
              </w:r>
            </w:hyperlink>
          </w:p>
        </w:tc>
        <w:tc>
          <w:tcPr>
            <w:tcW w:w="6060" w:type="dxa"/>
            <w:vAlign w:val="bottom"/>
            <w:gridSpan w:val="16"/>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1820" w:type="dxa"/>
            <w:vAlign w:val="bottom"/>
            <w:gridSpan w:val="5"/>
          </w:tcPr>
          <w:p>
            <w:pPr>
              <w:spacing w:after="0" w:line="162" w:lineRule="exact"/>
              <w:rPr>
                <w:sz w:val="20"/>
                <w:szCs w:val="20"/>
                <w:color w:val="auto"/>
              </w:rPr>
            </w:pPr>
            <w:r>
              <w:rPr>
                <w:rFonts w:ascii="Arial" w:cs="Arial" w:eastAsia="Arial" w:hAnsi="Arial"/>
                <w:sz w:val="18"/>
                <w:szCs w:val="18"/>
                <w:color w:val="auto"/>
              </w:rPr>
              <w:t>Item 16C.</w:t>
            </w:r>
          </w:p>
        </w:tc>
        <w:tc>
          <w:tcPr>
            <w:tcW w:w="8440" w:type="dxa"/>
            <w:vAlign w:val="bottom"/>
            <w:gridSpan w:val="27"/>
          </w:tcPr>
          <w:p>
            <w:pPr>
              <w:spacing w:after="0" w:line="162" w:lineRule="exact"/>
              <w:rPr>
                <w:rFonts w:ascii="Arial" w:cs="Arial" w:eastAsia="Arial" w:hAnsi="Arial"/>
                <w:sz w:val="18"/>
                <w:szCs w:val="18"/>
                <w:color w:val="0000EE"/>
              </w:rPr>
            </w:pPr>
            <w:hyperlink w:anchor="page76">
              <w:r>
                <w:rPr>
                  <w:rFonts w:ascii="Arial" w:cs="Arial" w:eastAsia="Arial" w:hAnsi="Arial"/>
                  <w:sz w:val="18"/>
                  <w:szCs w:val="18"/>
                  <w:color w:val="0000EE"/>
                </w:rPr>
                <w:t>Principal accountant fees and services</w:t>
              </w:r>
            </w:hyperlink>
          </w:p>
        </w:tc>
        <w:tc>
          <w:tcPr>
            <w:tcW w:w="1140" w:type="dxa"/>
            <w:vAlign w:val="bottom"/>
          </w:tcPr>
          <w:p>
            <w:pPr>
              <w:jc w:val="right"/>
              <w:spacing w:after="0" w:line="162"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820" w:type="dxa"/>
            <w:vAlign w:val="bottom"/>
            <w:tcBorders>
              <w:bottom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auto"/>
              </w:rPr>
              <w:t>Item 16D.</w:t>
            </w:r>
          </w:p>
        </w:tc>
        <w:tc>
          <w:tcPr>
            <w:tcW w:w="4280" w:type="dxa"/>
            <w:vAlign w:val="bottom"/>
            <w:tcBorders>
              <w:bottom w:val="single" w:sz="8" w:color="0000EE"/>
            </w:tcBorders>
            <w:gridSpan w:val="22"/>
            <w:shd w:val="clear" w:color="auto" w:fill="CCEEFF"/>
          </w:tcPr>
          <w:p>
            <w:pPr>
              <w:spacing w:after="0" w:line="162"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Exemptions from the listing standards for audit committees</w:t>
              </w:r>
            </w:hyperlink>
          </w:p>
        </w:tc>
        <w:tc>
          <w:tcPr>
            <w:tcW w:w="4160" w:type="dxa"/>
            <w:vAlign w:val="bottom"/>
            <w:tcBorders>
              <w:bottom w:val="single" w:sz="8" w:color="CCEEFF"/>
            </w:tcBorders>
            <w:gridSpan w:val="5"/>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gridSpan w:val="5"/>
          </w:tcPr>
          <w:p>
            <w:pPr>
              <w:spacing w:after="0" w:line="162" w:lineRule="exact"/>
              <w:rPr>
                <w:sz w:val="20"/>
                <w:szCs w:val="20"/>
                <w:color w:val="auto"/>
              </w:rPr>
            </w:pPr>
            <w:r>
              <w:rPr>
                <w:rFonts w:ascii="Arial" w:cs="Arial" w:eastAsia="Arial" w:hAnsi="Arial"/>
                <w:sz w:val="18"/>
                <w:szCs w:val="18"/>
                <w:color w:val="auto"/>
              </w:rPr>
              <w:t>Item 16E.</w:t>
            </w:r>
          </w:p>
        </w:tc>
        <w:tc>
          <w:tcPr>
            <w:tcW w:w="8440" w:type="dxa"/>
            <w:vAlign w:val="bottom"/>
            <w:gridSpan w:val="27"/>
          </w:tcPr>
          <w:p>
            <w:pPr>
              <w:spacing w:after="0" w:line="162" w:lineRule="exact"/>
              <w:rPr>
                <w:rFonts w:ascii="Arial" w:cs="Arial" w:eastAsia="Arial" w:hAnsi="Arial"/>
                <w:sz w:val="18"/>
                <w:szCs w:val="18"/>
                <w:color w:val="0000EE"/>
              </w:rPr>
            </w:pPr>
            <w:hyperlink w:anchor="page77">
              <w:r>
                <w:rPr>
                  <w:rFonts w:ascii="Arial" w:cs="Arial" w:eastAsia="Arial" w:hAnsi="Arial"/>
                  <w:sz w:val="18"/>
                  <w:szCs w:val="18"/>
                  <w:color w:val="0000EE"/>
                </w:rPr>
                <w:t>Purchases of equity securities by the issuer and affiliated purchasers</w:t>
              </w:r>
            </w:hyperlink>
          </w:p>
        </w:tc>
        <w:tc>
          <w:tcPr>
            <w:tcW w:w="1140" w:type="dxa"/>
            <w:vAlign w:val="bottom"/>
          </w:tcPr>
          <w:p>
            <w:pPr>
              <w:jc w:val="right"/>
              <w:spacing w:after="0" w:line="162"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tcBorders>
              <w:bottom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auto"/>
              </w:rPr>
              <w:t>Item 16F.</w:t>
            </w:r>
          </w:p>
        </w:tc>
        <w:tc>
          <w:tcPr>
            <w:tcW w:w="3140" w:type="dxa"/>
            <w:vAlign w:val="bottom"/>
            <w:tcBorders>
              <w:top w:val="single" w:sz="8" w:color="0000EE"/>
              <w:bottom w:val="single" w:sz="8" w:color="0000EE"/>
            </w:tcBorders>
            <w:gridSpan w:val="15"/>
            <w:shd w:val="clear" w:color="auto" w:fill="CCEEFF"/>
          </w:tcPr>
          <w:p>
            <w:pPr>
              <w:spacing w:after="0" w:line="162"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Change in registrant's certifying accountant</w:t>
              </w:r>
            </w:hyperlink>
          </w:p>
        </w:tc>
        <w:tc>
          <w:tcPr>
            <w:tcW w:w="1760" w:type="dxa"/>
            <w:vAlign w:val="bottom"/>
            <w:tcBorders>
              <w:top w:val="single" w:sz="8" w:color="0000EE"/>
              <w:bottom w:val="single" w:sz="8" w:color="CCEEFF"/>
            </w:tcBorders>
            <w:gridSpan w:val="9"/>
            <w:shd w:val="clear" w:color="auto" w:fill="CCEEFF"/>
          </w:tcPr>
          <w:p>
            <w:pPr>
              <w:spacing w:after="0"/>
              <w:rPr>
                <w:sz w:val="14"/>
                <w:szCs w:val="14"/>
                <w:color w:val="auto"/>
              </w:rPr>
            </w:pPr>
          </w:p>
        </w:tc>
        <w:tc>
          <w:tcPr>
            <w:tcW w:w="3540" w:type="dxa"/>
            <w:vAlign w:val="bottom"/>
            <w:tcBorders>
              <w:bottom w:val="single" w:sz="8" w:color="CCEEFF"/>
            </w:tcBorders>
            <w:gridSpan w:val="3"/>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gridSpan w:val="5"/>
          </w:tcPr>
          <w:p>
            <w:pPr>
              <w:spacing w:after="0" w:line="162" w:lineRule="exact"/>
              <w:rPr>
                <w:sz w:val="20"/>
                <w:szCs w:val="20"/>
                <w:color w:val="auto"/>
              </w:rPr>
            </w:pPr>
            <w:r>
              <w:rPr>
                <w:rFonts w:ascii="Arial" w:cs="Arial" w:eastAsia="Arial" w:hAnsi="Arial"/>
                <w:sz w:val="18"/>
                <w:szCs w:val="18"/>
                <w:color w:val="auto"/>
              </w:rPr>
              <w:t>Item 16G.</w:t>
            </w:r>
          </w:p>
        </w:tc>
        <w:tc>
          <w:tcPr>
            <w:tcW w:w="1600" w:type="dxa"/>
            <w:vAlign w:val="bottom"/>
            <w:tcBorders>
              <w:bottom w:val="single" w:sz="8" w:color="0000EE"/>
            </w:tcBorders>
            <w:gridSpan w:val="6"/>
          </w:tcPr>
          <w:p>
            <w:pPr>
              <w:spacing w:after="0" w:line="162"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Corporate governance</w:t>
              </w:r>
            </w:hyperlink>
          </w:p>
        </w:tc>
        <w:tc>
          <w:tcPr>
            <w:tcW w:w="6840" w:type="dxa"/>
            <w:vAlign w:val="bottom"/>
            <w:gridSpan w:val="21"/>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gridSpan w:val="5"/>
            <w:shd w:val="clear" w:color="auto" w:fill="CCEEFF"/>
          </w:tcPr>
          <w:p>
            <w:pPr>
              <w:spacing w:after="0" w:line="162" w:lineRule="exact"/>
              <w:rPr>
                <w:sz w:val="20"/>
                <w:szCs w:val="20"/>
                <w:color w:val="auto"/>
              </w:rPr>
            </w:pPr>
            <w:r>
              <w:rPr>
                <w:rFonts w:ascii="Arial" w:cs="Arial" w:eastAsia="Arial" w:hAnsi="Arial"/>
                <w:sz w:val="18"/>
                <w:szCs w:val="18"/>
                <w:color w:val="auto"/>
              </w:rPr>
              <w:t>Item 16H.</w:t>
            </w:r>
          </w:p>
        </w:tc>
        <w:tc>
          <w:tcPr>
            <w:tcW w:w="8440" w:type="dxa"/>
            <w:vAlign w:val="bottom"/>
            <w:gridSpan w:val="27"/>
            <w:shd w:val="clear" w:color="auto" w:fill="CCEEFF"/>
          </w:tcPr>
          <w:p>
            <w:pPr>
              <w:spacing w:after="0" w:line="162" w:lineRule="exact"/>
              <w:rPr>
                <w:rFonts w:ascii="Arial" w:cs="Arial" w:eastAsia="Arial" w:hAnsi="Arial"/>
                <w:sz w:val="18"/>
                <w:szCs w:val="18"/>
                <w:color w:val="0000EE"/>
              </w:rPr>
            </w:pPr>
            <w:hyperlink w:anchor="page79">
              <w:r>
                <w:rPr>
                  <w:rFonts w:ascii="Arial" w:cs="Arial" w:eastAsia="Arial" w:hAnsi="Arial"/>
                  <w:sz w:val="18"/>
                  <w:szCs w:val="18"/>
                  <w:color w:val="0000EE"/>
                </w:rPr>
                <w:t>Mine safety disclosure</w:t>
              </w:r>
            </w:hyperlink>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9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40" w:type="dxa"/>
            <w:vAlign w:val="bottom"/>
            <w:tcBorders>
              <w:bottom w:val="single" w:sz="8" w:color="0000EE"/>
            </w:tcBorders>
            <w:gridSpan w:val="3"/>
            <w:shd w:val="clear" w:color="auto" w:fill="CCEEFF"/>
          </w:tcPr>
          <w:p>
            <w:pPr>
              <w:spacing w:after="0" w:line="162" w:lineRule="exact"/>
              <w:rPr>
                <w:rFonts w:ascii="Arial" w:cs="Arial" w:eastAsia="Arial" w:hAnsi="Arial"/>
                <w:sz w:val="18"/>
                <w:szCs w:val="18"/>
                <w:b w:val="1"/>
                <w:bCs w:val="1"/>
                <w:color w:val="0000EE"/>
                <w:w w:val="97"/>
              </w:rPr>
            </w:pPr>
            <w:hyperlink w:anchor="page79">
              <w:r>
                <w:rPr>
                  <w:rFonts w:ascii="Arial" w:cs="Arial" w:eastAsia="Arial" w:hAnsi="Arial"/>
                  <w:sz w:val="18"/>
                  <w:szCs w:val="18"/>
                  <w:b w:val="1"/>
                  <w:bCs w:val="1"/>
                  <w:color w:val="0000EE"/>
                  <w:w w:val="97"/>
                </w:rPr>
                <w:t>PART THREE</w:t>
              </w:r>
            </w:hyperlink>
          </w:p>
        </w:tc>
        <w:tc>
          <w:tcPr>
            <w:tcW w:w="680" w:type="dxa"/>
            <w:vAlign w:val="bottom"/>
            <w:tcBorders>
              <w:bottom w:val="single" w:sz="8" w:color="CCEEFF"/>
            </w:tcBorders>
            <w:gridSpan w:val="2"/>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2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gridSpan w:val="5"/>
          </w:tcPr>
          <w:p>
            <w:pPr>
              <w:spacing w:after="0" w:line="162" w:lineRule="exact"/>
              <w:rPr>
                <w:sz w:val="20"/>
                <w:szCs w:val="20"/>
                <w:color w:val="auto"/>
              </w:rPr>
            </w:pPr>
            <w:r>
              <w:rPr>
                <w:rFonts w:ascii="Arial" w:cs="Arial" w:eastAsia="Arial" w:hAnsi="Arial"/>
                <w:sz w:val="18"/>
                <w:szCs w:val="18"/>
                <w:color w:val="auto"/>
              </w:rPr>
              <w:t>Item 17.</w:t>
            </w:r>
          </w:p>
        </w:tc>
        <w:tc>
          <w:tcPr>
            <w:tcW w:w="1480" w:type="dxa"/>
            <w:vAlign w:val="bottom"/>
            <w:tcBorders>
              <w:bottom w:val="single" w:sz="8" w:color="0000EE"/>
            </w:tcBorders>
            <w:gridSpan w:val="4"/>
          </w:tcPr>
          <w:p>
            <w:pPr>
              <w:spacing w:after="0" w:line="162"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Financial statements</w:t>
              </w:r>
            </w:hyperlink>
          </w:p>
        </w:tc>
        <w:tc>
          <w:tcPr>
            <w:tcW w:w="6960" w:type="dxa"/>
            <w:vAlign w:val="bottom"/>
            <w:gridSpan w:val="23"/>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tcBorders>
              <w:bottom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auto"/>
              </w:rPr>
              <w:t>Item 18.</w:t>
            </w:r>
          </w:p>
        </w:tc>
        <w:tc>
          <w:tcPr>
            <w:tcW w:w="1480" w:type="dxa"/>
            <w:vAlign w:val="bottom"/>
            <w:tcBorders>
              <w:bottom w:val="single" w:sz="8" w:color="0000EE"/>
            </w:tcBorders>
            <w:gridSpan w:val="4"/>
            <w:shd w:val="clear" w:color="auto" w:fill="CCEEFF"/>
          </w:tcPr>
          <w:p>
            <w:pPr>
              <w:spacing w:after="0" w:line="162"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Financial statements</w:t>
              </w:r>
            </w:hyperlink>
          </w:p>
        </w:tc>
        <w:tc>
          <w:tcPr>
            <w:tcW w:w="6960" w:type="dxa"/>
            <w:vAlign w:val="bottom"/>
            <w:tcBorders>
              <w:bottom w:val="single" w:sz="8" w:color="CCEEFF"/>
            </w:tcBorders>
            <w:gridSpan w:val="23"/>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gridSpan w:val="5"/>
          </w:tcPr>
          <w:p>
            <w:pPr>
              <w:spacing w:after="0" w:line="162" w:lineRule="exact"/>
              <w:rPr>
                <w:sz w:val="20"/>
                <w:szCs w:val="20"/>
                <w:color w:val="auto"/>
              </w:rPr>
            </w:pPr>
            <w:r>
              <w:rPr>
                <w:rFonts w:ascii="Arial" w:cs="Arial" w:eastAsia="Arial" w:hAnsi="Arial"/>
                <w:sz w:val="18"/>
                <w:szCs w:val="18"/>
                <w:color w:val="auto"/>
              </w:rPr>
              <w:t>Item 19.</w:t>
            </w:r>
          </w:p>
        </w:tc>
        <w:tc>
          <w:tcPr>
            <w:tcW w:w="8440" w:type="dxa"/>
            <w:vAlign w:val="bottom"/>
            <w:gridSpan w:val="27"/>
          </w:tcPr>
          <w:p>
            <w:pPr>
              <w:spacing w:after="0" w:line="162" w:lineRule="exact"/>
              <w:rPr>
                <w:rFonts w:ascii="Arial" w:cs="Arial" w:eastAsia="Arial" w:hAnsi="Arial"/>
                <w:sz w:val="18"/>
                <w:szCs w:val="18"/>
                <w:color w:val="0000EE"/>
              </w:rPr>
            </w:pPr>
            <w:hyperlink w:anchor="page79">
              <w:r>
                <w:rPr>
                  <w:rFonts w:ascii="Arial" w:cs="Arial" w:eastAsia="Arial" w:hAnsi="Arial"/>
                  <w:sz w:val="18"/>
                  <w:szCs w:val="18"/>
                  <w:color w:val="0000EE"/>
                </w:rPr>
                <w:t>Exhibits</w:t>
              </w:r>
            </w:hyperlink>
          </w:p>
        </w:tc>
        <w:tc>
          <w:tcPr>
            <w:tcW w:w="1140" w:type="dxa"/>
            <w:vAlign w:val="bottom"/>
          </w:tcPr>
          <w:p>
            <w:pPr>
              <w:jc w:val="right"/>
              <w:spacing w:after="0" w:line="162"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2"/>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Unless otherwise indicated, all references to the “Company,” “we,” “our” and “Alcobra” refer to Alcobra Ltd. and its subsidiary, Alcobra Inc., a Delaware corporation. References to “U.S. dollars” and “$” are to currency of the United States of America, and references to “NIS” are to new Israeli shekels. References to “Ordinary Shares” are to our Ordinary Shares, par value of NIS 0.01 per share.</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do not endorse or adopt any third-party research or forecast firms’ statements or reports referred to in this annual report and assume no responsibility for the contents or opinions represented in such statements or reports, nor for the updating of any information contained therein.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SPECIAL NOTE REGARDING FORWARD-LOOKING STATEMENTS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annual report contains express or implied “forward-looking statements” within the meaning of the Private Securities Litigation Reform Act of 1995 and other U.S. Federal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but are not limited to:</w:t>
      </w:r>
    </w:p>
    <w:p>
      <w:pPr>
        <w:spacing w:after="0" w:line="212" w:lineRule="exact"/>
        <w:rPr>
          <w:sz w:val="20"/>
          <w:szCs w:val="20"/>
          <w:color w:val="auto"/>
        </w:rPr>
      </w:pPr>
    </w:p>
    <w:p>
      <w:pPr>
        <w:ind w:left="700" w:right="380" w:hanging="341"/>
        <w:spacing w:after="0" w:line="246"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FDA approval of, or other regulatory action in the United States and elsewhere with respect to, our drug candidate, a proprietary formulation of metadoxine, or MDX;</w:t>
      </w:r>
    </w:p>
    <w:p>
      <w:pPr>
        <w:spacing w:after="0" w:line="169"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commercial launch and future sales of MDX or any other future products or product candidates;</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favorable pricing for MDX;</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orphan drug designation for MDX, and implications if such designation is lost;</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commercial supply of our MDX drug candidate;</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third-party payor reimbursement for MDX;</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estimates regarding anticipated expenses, capital requirements, the sufficiency of our funds through 2017 and our needs for additional financing;</w:t>
      </w:r>
    </w:p>
    <w:p>
      <w:pPr>
        <w:spacing w:after="0" w:line="221" w:lineRule="exact"/>
        <w:rPr>
          <w:rFonts w:ascii="Arial" w:cs="Arial" w:eastAsia="Arial" w:hAnsi="Arial"/>
          <w:sz w:val="16"/>
          <w:szCs w:val="16"/>
          <w:color w:val="auto"/>
        </w:rPr>
      </w:pPr>
    </w:p>
    <w:p>
      <w:pPr>
        <w:ind w:left="700" w:right="200" w:hanging="341"/>
        <w:spacing w:after="0" w:line="246"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patient market size of Attention Deficit and Hyperactivity Disorder, or ADHD, and Fragile X Syndrome, or Fragile X, and market adoption of MDX by physicians and patients;</w:t>
      </w:r>
    </w:p>
    <w:p>
      <w:pPr>
        <w:spacing w:after="0" w:line="169"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cost or other aspects of the commercial launch of MDX;</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design of future clinical trials and our ability to better control placebo response and treatment response variability;</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duration and cost of clinical trials for MDX or whether such trials will be conducted at all;</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completing, receiving favorable results, and announcing results of clinical trials for MDX;</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issuance of patents to us by the United States Patent and Trademark Office, or U.S. PTO, and other governmental patent agencies;</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our proprietary technology and enforce our intellectual property rights;</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intention to file a joint NDA for the adult and pediatric sub-populations for ADHD;</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we will be able to maintain fast track designation for MDX for Fragile X; and</w:t>
      </w:r>
    </w:p>
    <w:p>
      <w:pPr>
        <w:spacing w:after="0" w:line="198"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licensing, acquisitions and strategic operations.</w:t>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7"/>
          <w:szCs w:val="17"/>
          <w:color w:val="auto"/>
        </w:rPr>
        <w:t>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herein would not be interpreted differently in light of additional research and clinical and preclinical trials results. Also, while the FDA has indicated to us that positive efficacy results from certain clinical studies may be sufficient to demonstrate efficacy for approval of MDX, the FDA is not bound by these communications and accordingly may change its position in the future. The forward-looking statements contained in this annual report are subject to risks and uncertainties, including those discussed under Item 3.D. Risk Factors and in our other filings with the Securities and Exchange Commission, or the SEC.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 Except as required by law, we are under no duty to (and expressly disclaim any such obligation to) update or revise any of the forward-looking statements, whether as a result of new information, future events or otherwise, after the date of this annual report.</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 w:name="page6"/>
    <w:bookmarkEnd w:id="5"/>
    <w:p>
      <w:pPr>
        <w:ind w:left="5580"/>
        <w:spacing w:after="0"/>
        <w:rPr>
          <w:sz w:val="20"/>
          <w:szCs w:val="20"/>
          <w:color w:val="auto"/>
        </w:rPr>
      </w:pPr>
      <w:r>
        <w:rPr>
          <w:rFonts w:ascii="Arial" w:cs="Arial" w:eastAsia="Arial" w:hAnsi="Arial"/>
          <w:sz w:val="18"/>
          <w:szCs w:val="18"/>
          <w:b w:val="1"/>
          <w:bCs w:val="1"/>
          <w:u w:val="single" w:color="auto"/>
          <w:color w:val="auto"/>
        </w:rPr>
        <w:t>PART ONE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3.A.</w:t>
      </w:r>
      <w:r>
        <w:rPr>
          <w:sz w:val="20"/>
          <w:szCs w:val="20"/>
          <w:color w:val="auto"/>
        </w:rPr>
        <w:tab/>
      </w:r>
      <w:r>
        <w:rPr>
          <w:rFonts w:ascii="Arial" w:cs="Arial" w:eastAsia="Arial" w:hAnsi="Arial"/>
          <w:sz w:val="15"/>
          <w:szCs w:val="15"/>
          <w:b w:val="1"/>
          <w:bCs w:val="1"/>
          <w:color w:val="auto"/>
        </w:rPr>
        <w:t>Selected financial data</w:t>
      </w:r>
    </w:p>
    <w:p>
      <w:pPr>
        <w:spacing w:after="0" w:line="229" w:lineRule="exact"/>
        <w:rPr>
          <w:sz w:val="20"/>
          <w:szCs w:val="20"/>
          <w:color w:val="auto"/>
        </w:rPr>
      </w:pPr>
    </w:p>
    <w:p>
      <w:pPr>
        <w:ind w:right="60" w:firstLine="383"/>
        <w:spacing w:after="0" w:line="297" w:lineRule="auto"/>
        <w:rPr>
          <w:sz w:val="20"/>
          <w:szCs w:val="20"/>
          <w:color w:val="auto"/>
        </w:rPr>
      </w:pPr>
      <w:r>
        <w:rPr>
          <w:rFonts w:ascii="Arial" w:cs="Arial" w:eastAsia="Arial" w:hAnsi="Arial"/>
          <w:sz w:val="16"/>
          <w:szCs w:val="16"/>
          <w:color w:val="auto"/>
        </w:rPr>
        <w:t>Our historical consolidated financial statements are prepared in accordance with generally accepted accounting principles in the United States and are presented in U.S. dollars. The selected historical consolidated financial information as of December 31, 2014 and 2015 and for the years ended December 31, 2013, 2014 and 2015 have been derived from, and should be read in conjunction with, the consolidated financial statements of Alcobra Ltd. and notes thereto appearing elsewhere in this annual report. The selected financial data as of December 31, 2011, 2012 and 2013 and for the years ended December 31, 2011 and December 31, 2012 have been derived from the audited financial statements of Alcobra Ltd. not included in this annual report.</w:t>
      </w:r>
    </w:p>
    <w:p>
      <w:pPr>
        <w:spacing w:after="0" w:line="158" w:lineRule="exact"/>
        <w:rPr>
          <w:sz w:val="20"/>
          <w:szCs w:val="20"/>
          <w:color w:val="auto"/>
        </w:rPr>
      </w:pPr>
    </w:p>
    <w:p>
      <w:pPr>
        <w:jc w:val="both"/>
        <w:ind w:right="80" w:firstLine="383"/>
        <w:spacing w:after="0" w:line="264" w:lineRule="auto"/>
        <w:rPr>
          <w:sz w:val="20"/>
          <w:szCs w:val="20"/>
          <w:color w:val="auto"/>
        </w:rPr>
      </w:pPr>
      <w:r>
        <w:rPr>
          <w:rFonts w:ascii="Arial" w:cs="Arial" w:eastAsia="Arial" w:hAnsi="Arial"/>
          <w:sz w:val="18"/>
          <w:szCs w:val="18"/>
          <w:color w:val="auto"/>
        </w:rPr>
        <w:t>The information presented below is qualified by the more detailed historical consolidated financial statements set forth in this annual report, and should be read in conjunction with those consolidated financial statements, the notes thereto and the discussion under Item 5 – “Operating and Financial Review and Prospects” - included elsewhere in this annual report.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 Data – Years Ended December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13,461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25,105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7,066</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Pre-commercialization</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Operating loss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19,698</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33,078</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10,290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1,501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3,906</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loss before taxes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19,398</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32,851</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10,487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3,929</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(tax benefit)</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Deemed dividend</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Shares used in computing basic and diluted</w:t>
            </w:r>
          </w:p>
        </w:tc>
        <w:tc>
          <w:tcPr>
            <w:tcW w:w="1220" w:type="dxa"/>
            <w:vAlign w:val="bottom"/>
            <w:gridSpan w:val="2"/>
            <w:shd w:val="clear" w:color="auto" w:fill="CCEEFF"/>
          </w:tcPr>
          <w:p>
            <w:pPr>
              <w:jc w:val="right"/>
              <w:ind w:right="510"/>
              <w:spacing w:after="0" w:line="201" w:lineRule="exact"/>
              <w:rPr>
                <w:sz w:val="20"/>
                <w:szCs w:val="20"/>
                <w:color w:val="auto"/>
              </w:rPr>
            </w:pPr>
            <w:r>
              <w:rPr>
                <w:rFonts w:ascii="Arial" w:cs="Arial" w:eastAsia="Arial" w:hAnsi="Arial"/>
                <w:sz w:val="18"/>
                <w:szCs w:val="18"/>
                <w:color w:val="auto"/>
                <w:w w:val="96"/>
              </w:rPr>
              <w:t>net loss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21,638,207</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13,674,818</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10,177,786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7,791,932</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7,843,388</w:t>
            </w: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Balance Sheet Data – as of December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for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49,994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19,751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48,582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71,683</w:t>
            </w:r>
          </w:p>
        </w:tc>
        <w:tc>
          <w:tcPr>
            <w:tcW w:w="4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22,318</w:t>
            </w:r>
          </w:p>
        </w:tc>
        <w:tc>
          <w:tcPr>
            <w:tcW w:w="3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50,324</w:t>
            </w:r>
          </w:p>
        </w:tc>
        <w:tc>
          <w:tcPr>
            <w:tcW w:w="3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1,204</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69,331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19,943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48,688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Number of shares outstanding</w:t>
            </w:r>
          </w:p>
        </w:tc>
        <w:tc>
          <w:tcPr>
            <w:tcW w:w="7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27,560,920</w:t>
            </w:r>
          </w:p>
        </w:tc>
        <w:tc>
          <w:tcPr>
            <w:tcW w:w="4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13,702,772</w:t>
            </w:r>
          </w:p>
        </w:tc>
        <w:tc>
          <w:tcPr>
            <w:tcW w:w="3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13,636,709</w:t>
            </w:r>
          </w:p>
        </w:tc>
        <w:tc>
          <w:tcPr>
            <w:tcW w:w="38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7,794,256</w:t>
            </w:r>
          </w:p>
        </w:tc>
        <w:tc>
          <w:tcPr>
            <w:tcW w:w="3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8,096,109</w:t>
            </w:r>
          </w:p>
        </w:tc>
      </w:tr>
      <w:tr>
        <w:trPr>
          <w:trHeight w:val="404"/>
        </w:trPr>
        <w:tc>
          <w:tcPr>
            <w:tcW w:w="560" w:type="dxa"/>
            <w:vAlign w:val="bottom"/>
          </w:tcPr>
          <w:p>
            <w:pPr>
              <w:spacing w:after="0"/>
              <w:rPr>
                <w:sz w:val="20"/>
                <w:szCs w:val="20"/>
                <w:color w:val="auto"/>
              </w:rPr>
            </w:pPr>
            <w:r>
              <w:rPr>
                <w:rFonts w:ascii="Arial" w:cs="Arial" w:eastAsia="Arial" w:hAnsi="Arial"/>
                <w:sz w:val="18"/>
                <w:szCs w:val="18"/>
                <w:b w:val="1"/>
                <w:bCs w:val="1"/>
                <w:color w:val="auto"/>
              </w:rPr>
              <w:t>3.B.</w:t>
            </w:r>
          </w:p>
        </w:tc>
        <w:tc>
          <w:tcPr>
            <w:tcW w:w="3140" w:type="dxa"/>
            <w:vAlign w:val="bottom"/>
          </w:tcPr>
          <w:p>
            <w:pPr>
              <w:ind w:left="260"/>
              <w:spacing w:after="0"/>
              <w:rPr>
                <w:sz w:val="20"/>
                <w:szCs w:val="20"/>
                <w:color w:val="auto"/>
              </w:rPr>
            </w:pPr>
            <w:r>
              <w:rPr>
                <w:rFonts w:ascii="Arial" w:cs="Arial" w:eastAsia="Arial" w:hAnsi="Arial"/>
                <w:sz w:val="18"/>
                <w:szCs w:val="18"/>
                <w:b w:val="1"/>
                <w:bCs w:val="1"/>
                <w:color w:val="auto"/>
              </w:rPr>
              <w:t>Capitalization and indebtedness</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3.C.</w:t>
      </w:r>
      <w:r>
        <w:rPr>
          <w:sz w:val="20"/>
          <w:szCs w:val="20"/>
          <w:color w:val="auto"/>
        </w:rPr>
        <w:tab/>
      </w:r>
      <w:r>
        <w:rPr>
          <w:rFonts w:ascii="Arial" w:cs="Arial" w:eastAsia="Arial" w:hAnsi="Arial"/>
          <w:sz w:val="15"/>
          <w:szCs w:val="15"/>
          <w:b w:val="1"/>
          <w:bCs w:val="1"/>
          <w:color w:val="auto"/>
        </w:rPr>
        <w:t>Reasons for the offer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3.D.</w:t>
      </w:r>
      <w:r>
        <w:rPr>
          <w:sz w:val="20"/>
          <w:szCs w:val="20"/>
          <w:color w:val="auto"/>
        </w:rPr>
        <w:tab/>
      </w:r>
      <w:r>
        <w:rPr>
          <w:rFonts w:ascii="Arial" w:cs="Arial" w:eastAsia="Arial" w:hAnsi="Arial"/>
          <w:sz w:val="16"/>
          <w:szCs w:val="16"/>
          <w:b w:val="1"/>
          <w:bCs w:val="1"/>
          <w:color w:val="auto"/>
        </w:rPr>
        <w:t>Risk factors</w:t>
      </w:r>
    </w:p>
    <w:p>
      <w:pPr>
        <w:spacing w:after="0" w:line="216" w:lineRule="exact"/>
        <w:rPr>
          <w:sz w:val="20"/>
          <w:szCs w:val="20"/>
          <w:color w:val="auto"/>
        </w:rPr>
      </w:pPr>
    </w:p>
    <w:p>
      <w:pPr>
        <w:ind w:firstLine="383"/>
        <w:spacing w:after="0" w:line="286" w:lineRule="auto"/>
        <w:rPr>
          <w:sz w:val="20"/>
          <w:szCs w:val="20"/>
          <w:color w:val="auto"/>
        </w:rPr>
      </w:pPr>
      <w:r>
        <w:rPr>
          <w:rFonts w:ascii="Arial" w:cs="Arial" w:eastAsia="Arial" w:hAnsi="Arial"/>
          <w:sz w:val="17"/>
          <w:szCs w:val="17"/>
          <w:color w:val="auto"/>
        </w:rPr>
        <w:t>In conducting our business, we face many risks that may interfere with our business objectives. Some of these risks could materially and adversely affect our business, financial condition and results of operations. In particular, we are subject to various risks resulting from changing economic, political, industry, regulatory, business and financial conditions. The risks and uncertainties described below are not the only ones we face.</w:t>
      </w:r>
    </w:p>
    <w:p>
      <w:pPr>
        <w:spacing w:after="0" w:line="166" w:lineRule="exact"/>
        <w:rPr>
          <w:sz w:val="20"/>
          <w:szCs w:val="20"/>
          <w:color w:val="auto"/>
        </w:rPr>
      </w:pPr>
    </w:p>
    <w:p>
      <w:pPr>
        <w:ind w:right="20" w:firstLine="383"/>
        <w:spacing w:after="0" w:line="264" w:lineRule="auto"/>
        <w:rPr>
          <w:sz w:val="20"/>
          <w:szCs w:val="20"/>
          <w:color w:val="auto"/>
        </w:rPr>
      </w:pPr>
      <w:r>
        <w:rPr>
          <w:rFonts w:ascii="Arial" w:cs="Arial" w:eastAsia="Arial" w:hAnsi="Arial"/>
          <w:sz w:val="18"/>
          <w:szCs w:val="18"/>
          <w:color w:val="auto"/>
        </w:rPr>
        <w:t>You should carefully consider the following factors and other information in this annual report before you decide to invest in our Ordinary Shares. If any of the negative events referred to below occur, our business, financial condition and results of operations could suffer. In any such case, the trading price of our Ordinary Shares could decline, and you may lose all or part of your investment.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depend entirely on the success of our only current clinical-stage product candidate, MDX, and we may not obtain regulatory approval of MDX for the treatment of ADHD or other cognitive dysfunctions such as Fragile X, or we may be unable to successfully commercialize it.</w:t>
      </w:r>
    </w:p>
    <w:p>
      <w:pPr>
        <w:spacing w:after="0" w:line="147"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We have invested almost all of our efforts and financial resources in the research and development of MDX, which is currently our only clinical-stage product candidate. As a result, our business is entirely dependent on our ability to complete the development of, obtain regulatory approval for, and successfully commercialize, MDX in a timely manner. The process to develop, obtain regulatory approval for, and commercialize MDX is long, complex, costly and uncertain of outcome.</w:t>
      </w:r>
    </w:p>
    <w:p>
      <w:pPr>
        <w:spacing w:after="0" w:line="187" w:lineRule="exact"/>
        <w:rPr>
          <w:sz w:val="20"/>
          <w:szCs w:val="20"/>
          <w:color w:val="auto"/>
        </w:rPr>
      </w:pPr>
    </w:p>
    <w:p>
      <w:pPr>
        <w:ind w:right="60" w:firstLine="416"/>
        <w:spacing w:after="0" w:line="272" w:lineRule="auto"/>
        <w:rPr>
          <w:sz w:val="20"/>
          <w:szCs w:val="20"/>
          <w:color w:val="auto"/>
        </w:rPr>
      </w:pPr>
      <w:r>
        <w:rPr>
          <w:rFonts w:ascii="Arial" w:cs="Arial" w:eastAsia="Arial" w:hAnsi="Arial"/>
          <w:sz w:val="17"/>
          <w:szCs w:val="17"/>
          <w:color w:val="auto"/>
        </w:rPr>
        <w:t>The research, testing, manufacturing, labeling, approval, sale, marketing and distribution of drugs are subject to extensive regulation by the Food and Drug Administration, or FDA, in the United States and other regulatory agencies in other countries. These regulations differ from country to country. We are not permitted to market MDX or any other product candidate in the United States until we receive approval of a New Drug Application, or NDA, from the FDA, or in any foreign countries until we receive the requisite approval from regulatory agencies in such countries. We are required to conduct multiple additional pre-clinical and clinical trials to be able to submit an NDA to the FDA or comparable applications to other regulatory authorities in other countries. The results of additional pre-clinical and clinical trials may be unsatisfactory, and even if we believe those trials to be successful, there are many reasons why the FDA may not approve our NDA should we be in a position to file one.</w:t>
      </w:r>
    </w:p>
    <w:p>
      <w:pPr>
        <w:spacing w:after="0" w:line="178" w:lineRule="exact"/>
        <w:rPr>
          <w:sz w:val="20"/>
          <w:szCs w:val="20"/>
          <w:color w:val="auto"/>
        </w:rPr>
      </w:pPr>
    </w:p>
    <w:p>
      <w:pPr>
        <w:ind w:right="100" w:firstLine="416"/>
        <w:spacing w:after="0" w:line="270"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ind w:right="80" w:firstLine="416"/>
        <w:spacing w:after="0" w:line="259" w:lineRule="auto"/>
        <w:rPr>
          <w:sz w:val="20"/>
          <w:szCs w:val="20"/>
          <w:color w:val="auto"/>
        </w:rPr>
      </w:pPr>
      <w:r>
        <w:rPr>
          <w:rFonts w:ascii="Arial" w:cs="Arial" w:eastAsia="Arial" w:hAnsi="Arial"/>
          <w:sz w:val="18"/>
          <w:szCs w:val="18"/>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MDX. This would reduce our target market and limit the full commercial potential of MDX.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commencement and completion of clinical trials can be delayed or prevented for a number of reasons.</w:t>
      </w:r>
    </w:p>
    <w:p>
      <w:pPr>
        <w:spacing w:after="0" w:line="225"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168" w:lineRule="exact"/>
        <w:rPr>
          <w:sz w:val="20"/>
          <w:szCs w:val="20"/>
          <w:color w:val="auto"/>
        </w:rPr>
      </w:pPr>
    </w:p>
    <w:p>
      <w:pPr>
        <w:ind w:left="920" w:right="580" w:hanging="453"/>
        <w:spacing w:after="0" w:line="246"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or complete a clinical trial, or complying with conditions imposed by a regulatory authority regarding the scope or term of a clinical trial;</w:t>
      </w:r>
    </w:p>
    <w:p>
      <w:pPr>
        <w:spacing w:after="0" w:line="169" w:lineRule="exact"/>
        <w:rPr>
          <w:rFonts w:ascii="Arial" w:cs="Arial" w:eastAsia="Arial" w:hAnsi="Arial"/>
          <w:sz w:val="18"/>
          <w:szCs w:val="18"/>
          <w:color w:val="auto"/>
        </w:rPr>
      </w:pPr>
    </w:p>
    <w:p>
      <w:pPr>
        <w:ind w:left="920" w:right="380" w:hanging="453"/>
        <w:spacing w:after="0" w:line="235"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contract research organizations, or CROs, contract manufacturing organizations, or CMOs, and trial sites, the terms of which can be subject to extensive negotiation and may vary significantly among different CROs and trial sites;</w:t>
      </w:r>
    </w:p>
    <w:p>
      <w:pPr>
        <w:spacing w:after="0" w:line="175" w:lineRule="exact"/>
        <w:rPr>
          <w:rFonts w:ascii="Arial" w:cs="Arial" w:eastAsia="Arial" w:hAnsi="Arial"/>
          <w:sz w:val="18"/>
          <w:szCs w:val="18"/>
          <w:color w:val="auto"/>
        </w:rPr>
      </w:pPr>
    </w:p>
    <w:p>
      <w:pPr>
        <w:ind w:left="920" w:right="220" w:hanging="453"/>
        <w:spacing w:after="0" w:line="246"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our third-party contractors, such as CROs and CMOs, or our investigators to comply with regulatory requirements or otherwise meet their contractual obligations in a timely manner;</w:t>
      </w:r>
    </w:p>
    <w:p>
      <w:pPr>
        <w:spacing w:after="0" w:line="16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FDA requiring alterations to any of our study designs, our pre-clinical strategy or our manufacturing plans;</w:t>
      </w:r>
    </w:p>
    <w:p>
      <w:pPr>
        <w:spacing w:after="0" w:line="198" w:lineRule="exact"/>
        <w:rPr>
          <w:rFonts w:ascii="Arial" w:cs="Arial" w:eastAsia="Arial" w:hAnsi="Arial"/>
          <w:sz w:val="18"/>
          <w:szCs w:val="18"/>
          <w:color w:val="auto"/>
        </w:rPr>
      </w:pPr>
    </w:p>
    <w:p>
      <w:pPr>
        <w:ind w:left="920" w:hanging="453"/>
        <w:spacing w:after="0" w:line="235"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challenges recruiting and enrolling subjects to participate in clinical trials for a variety of reasons, including size and nature of subject population, proximity of subjects to clinical sites, eligibility criteria for the trial, nature of trial protocol, the availability of approved effective treatments for the relevant disease and competition from other clinical trial programs for similar indications;</w:t>
      </w:r>
    </w:p>
    <w:p>
      <w:pPr>
        <w:spacing w:after="0" w:line="175"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in maintaining contact with subjects after treatment, which results in incomplete data;</w:t>
      </w:r>
    </w:p>
    <w:p>
      <w:pPr>
        <w:spacing w:after="0" w:line="198" w:lineRule="exact"/>
        <w:rPr>
          <w:rFonts w:ascii="Arial" w:cs="Arial" w:eastAsia="Arial" w:hAnsi="Arial"/>
          <w:sz w:val="18"/>
          <w:szCs w:val="18"/>
          <w:color w:val="auto"/>
        </w:rPr>
      </w:pPr>
    </w:p>
    <w:p>
      <w:pPr>
        <w:ind w:left="920" w:right="80" w:hanging="453"/>
        <w:spacing w:after="0" w:line="246"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receipt by a competitor of marketing approval for a product targeting an indication that our product targets, such that we are not “first to market” with our product candidate;</w:t>
      </w:r>
    </w:p>
    <w:p>
      <w:pPr>
        <w:spacing w:after="0" w:line="16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and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12" w:lineRule="exact"/>
        <w:rPr>
          <w:sz w:val="20"/>
          <w:szCs w:val="20"/>
          <w:color w:val="auto"/>
        </w:rPr>
      </w:pPr>
    </w:p>
    <w:p>
      <w:pPr>
        <w:ind w:right="140" w:firstLine="416"/>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68" w:lineRule="exact"/>
        <w:rPr>
          <w:sz w:val="20"/>
          <w:szCs w:val="20"/>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safety issues, including serious adverse events associated with a product candidate, or lack of effectiveness; and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Positive results in previous pre-clinical and clinical trials of MDX may not be replicated in future clinical trials of MDX, which could result in development delays or a failure to obtain marketing approval.</w:t>
      </w:r>
    </w:p>
    <w:p>
      <w:pPr>
        <w:spacing w:after="0" w:line="17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Positive results in previous pre-clinical and clinical studies of MDX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MDX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Obtaining approval of an NDA even after clinical trials that are believed to be successful is an uncertain process.</w:t>
      </w:r>
    </w:p>
    <w:p>
      <w:pPr>
        <w:spacing w:after="0" w:line="225" w:lineRule="exact"/>
        <w:rPr>
          <w:sz w:val="20"/>
          <w:szCs w:val="20"/>
          <w:color w:val="auto"/>
        </w:rPr>
      </w:pPr>
    </w:p>
    <w:p>
      <w:pPr>
        <w:ind w:right="200" w:firstLine="415"/>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MDX for many reasons, including:</w:t>
      </w:r>
    </w:p>
    <w:p>
      <w:pPr>
        <w:spacing w:after="0" w:line="168" w:lineRule="exact"/>
        <w:rPr>
          <w:sz w:val="20"/>
          <w:szCs w:val="20"/>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demonstrate to the satisfaction of the FDA that MDX is safe and effective for any indication;</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or clinical significance required by the FDA for approval;</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98" w:lineRule="exact"/>
        <w:rPr>
          <w:rFonts w:ascii="Arial" w:cs="Arial" w:eastAsia="Arial" w:hAnsi="Arial"/>
          <w:sz w:val="18"/>
          <w:szCs w:val="18"/>
          <w:color w:val="auto"/>
        </w:rPr>
      </w:pPr>
    </w:p>
    <w:p>
      <w:pPr>
        <w:ind w:left="920" w:right="580" w:hanging="453"/>
        <w:spacing w:after="0" w:line="246"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not find the data from pre-clinical studies and clinical trials sufficient to demonstrate that MDX’s clinical and other benefits outweigh its safety risks;</w:t>
      </w:r>
    </w:p>
    <w:p>
      <w:pPr>
        <w:spacing w:after="0" w:line="169" w:lineRule="exact"/>
        <w:rPr>
          <w:rFonts w:ascii="Arial" w:cs="Arial" w:eastAsia="Arial" w:hAnsi="Arial"/>
          <w:sz w:val="18"/>
          <w:szCs w:val="18"/>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not accept data generated at our clinical trial sites;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data collected from pre-clinical studies and clinical trials of MDX may not be sufficient to support the submission of an NDA;</w:t>
      </w:r>
    </w:p>
    <w:p>
      <w:pPr>
        <w:spacing w:after="0" w:line="198" w:lineRule="exact"/>
        <w:rPr>
          <w:rFonts w:ascii="Arial" w:cs="Arial" w:eastAsia="Arial" w:hAnsi="Arial"/>
          <w:sz w:val="18"/>
          <w:szCs w:val="18"/>
          <w:color w:val="auto"/>
        </w:rPr>
      </w:pPr>
    </w:p>
    <w:p>
      <w:pPr>
        <w:ind w:left="920" w:hanging="453"/>
        <w:spacing w:after="0" w:line="235"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75" w:lineRule="exact"/>
        <w:rPr>
          <w:rFonts w:ascii="Arial" w:cs="Arial" w:eastAsia="Arial" w:hAnsi="Arial"/>
          <w:sz w:val="18"/>
          <w:szCs w:val="18"/>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as a condition of approval;</w:t>
      </w:r>
    </w:p>
    <w:p>
      <w:pPr>
        <w:spacing w:after="0" w:line="198" w:lineRule="exact"/>
        <w:rPr>
          <w:rFonts w:ascii="Arial" w:cs="Arial" w:eastAsia="Arial" w:hAnsi="Arial"/>
          <w:sz w:val="18"/>
          <w:szCs w:val="18"/>
          <w:color w:val="auto"/>
        </w:rPr>
      </w:pPr>
    </w:p>
    <w:p>
      <w:pPr>
        <w:ind w:left="920" w:right="100" w:hanging="453"/>
        <w:spacing w:after="0" w:line="246"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identify deficiencies in the manufacturing processes or facilities of third party manufacturers with which we enter into agreements for clinical and commercial supplies;</w:t>
      </w:r>
    </w:p>
    <w:p>
      <w:pPr>
        <w:spacing w:after="0" w:line="169" w:lineRule="exact"/>
        <w:rPr>
          <w:rFonts w:ascii="Arial" w:cs="Arial" w:eastAsia="Arial" w:hAnsi="Arial"/>
          <w:sz w:val="18"/>
          <w:szCs w:val="18"/>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w:t>
      </w:r>
    </w:p>
    <w:p>
      <w:pPr>
        <w:spacing w:after="0" w:line="198" w:lineRule="exact"/>
        <w:rPr>
          <w:rFonts w:ascii="Arial" w:cs="Arial" w:eastAsia="Arial" w:hAnsi="Arial"/>
          <w:sz w:val="18"/>
          <w:szCs w:val="18"/>
          <w:color w:val="auto"/>
        </w:rPr>
      </w:pPr>
    </w:p>
    <w:p>
      <w:pPr>
        <w:ind w:left="920" w:right="740" w:hanging="453"/>
        <w:spacing w:after="0" w:line="246"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require that an NDA application for ADHD includes the pediatric sub-population, delaying an approval for the adult sub-population; and</w:t>
      </w:r>
    </w:p>
    <w:p>
      <w:pPr>
        <w:spacing w:after="0" w:line="169" w:lineRule="exact"/>
        <w:rPr>
          <w:rFonts w:ascii="Arial" w:cs="Arial" w:eastAsia="Arial" w:hAnsi="Arial"/>
          <w:sz w:val="18"/>
          <w:szCs w:val="18"/>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have successful clinical trial results for adults but not children and adolescents.</w:t>
      </w:r>
    </w:p>
    <w:p>
      <w:pPr>
        <w:spacing w:after="0" w:line="212"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Before we can submit an NDA to the FDA, we may be required to conduct multiple registration studies, which are trials intended to support FDA product registration. Registration studies frequently produce unsatisfactory results even if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MDX and may be forced to cease operations.</w:t>
      </w:r>
    </w:p>
    <w:p>
      <w:pPr>
        <w:spacing w:after="0" w:line="178" w:lineRule="exact"/>
        <w:rPr>
          <w:sz w:val="20"/>
          <w:szCs w:val="20"/>
          <w:color w:val="auto"/>
        </w:rPr>
      </w:pPr>
    </w:p>
    <w:p>
      <w:pPr>
        <w:ind w:right="540" w:firstLine="416"/>
        <w:spacing w:after="0" w:line="286" w:lineRule="auto"/>
        <w:rPr>
          <w:sz w:val="20"/>
          <w:szCs w:val="20"/>
          <w:color w:val="auto"/>
        </w:rPr>
      </w:pPr>
      <w:r>
        <w:rPr>
          <w:rFonts w:ascii="Arial" w:cs="Arial" w:eastAsia="Arial" w:hAnsi="Arial"/>
          <w:sz w:val="17"/>
          <w:szCs w:val="17"/>
          <w:color w:val="auto"/>
        </w:rPr>
        <w:t>Even if we obtain FDA approval for MDX for the treatment of ADHD, or other cognitive dysfunctions,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MDX, we may be forced to cease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MDX receives marketing approval, there could be adverse effects not discovered during development.</w:t>
      </w:r>
    </w:p>
    <w:p>
      <w:pPr>
        <w:spacing w:after="0" w:line="225" w:lineRule="exact"/>
        <w:rPr>
          <w:sz w:val="20"/>
          <w:szCs w:val="20"/>
          <w:color w:val="auto"/>
        </w:rPr>
      </w:pPr>
    </w:p>
    <w:p>
      <w:pPr>
        <w:ind w:right="260" w:firstLine="415"/>
        <w:spacing w:after="0" w:line="342" w:lineRule="auto"/>
        <w:rPr>
          <w:sz w:val="20"/>
          <w:szCs w:val="20"/>
          <w:color w:val="auto"/>
        </w:rPr>
      </w:pPr>
      <w:r>
        <w:rPr>
          <w:rFonts w:ascii="Arial" w:cs="Arial" w:eastAsia="Arial" w:hAnsi="Arial"/>
          <w:sz w:val="16"/>
          <w:szCs w:val="16"/>
          <w:color w:val="auto"/>
        </w:rPr>
        <w:t>Even if MDX receives marketing approval, we or others may later identify undesirable side effects caused by the product or problems with our third-party manufacturers or manufacturing processes, and in either event a number of potentially significant negative consequences could result, including:</w:t>
      </w:r>
    </w:p>
    <w:p>
      <w:pPr>
        <w:spacing w:after="0" w:line="110" w:lineRule="exact"/>
        <w:rPr>
          <w:sz w:val="20"/>
          <w:szCs w:val="20"/>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authorities may suspend or withdraw their approval of the product;</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warnings or contraindications or distribution and use restrictions;</w:t>
      </w:r>
    </w:p>
    <w:p>
      <w:pPr>
        <w:spacing w:after="0" w:line="221" w:lineRule="exact"/>
        <w:rPr>
          <w:rFonts w:ascii="Arial" w:cs="Arial" w:eastAsia="Arial" w:hAnsi="Arial"/>
          <w:sz w:val="16"/>
          <w:szCs w:val="16"/>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authorities may require us to issue specific communications to healthcare professionals, such as “Dear Doctor” letters;</w:t>
      </w: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authorities may issue negative publicity regarding the affected product, including safety communications;</w:t>
      </w:r>
    </w:p>
    <w:p>
      <w:pPr>
        <w:spacing w:after="0" w:line="198" w:lineRule="exact"/>
        <w:rPr>
          <w:rFonts w:ascii="Arial" w:cs="Arial" w:eastAsia="Arial" w:hAnsi="Arial"/>
          <w:sz w:val="18"/>
          <w:szCs w:val="18"/>
          <w:color w:val="auto"/>
        </w:rPr>
      </w:pPr>
    </w:p>
    <w:p>
      <w:pPr>
        <w:ind w:left="920" w:right="700" w:hanging="453"/>
        <w:spacing w:after="0" w:line="246"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pre-clinical studies or clinical trials or restrict the distribution or use of the product;</w:t>
      </w:r>
    </w:p>
    <w:p>
      <w:pPr>
        <w:spacing w:after="0" w:line="169"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right="600" w:firstLine="41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commercialization costs or even force us to cease operations.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Obtaining regulatory approval for clinical trials of MDX in children will be more difficult than obtaining such approvals for adult clinical trials since the requirements for regulatory approval to conduct pediatric clinical trials are more stringent.</w:t>
      </w:r>
    </w:p>
    <w:p>
      <w:pPr>
        <w:spacing w:after="0" w:line="170"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development of the drug for adults. Development of our drug for children may be significantly delayed due to these additional requirements.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81"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MDX would be harmed and our ability to generate product revenue would be delayed, possibly materially.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FDA “Orphan Drug” designation for metadoxine, the active ingredient in MDX to treat Fragile X.</w:t>
      </w:r>
    </w:p>
    <w:p>
      <w:pPr>
        <w:spacing w:after="0" w:line="225" w:lineRule="exact"/>
        <w:rPr>
          <w:sz w:val="20"/>
          <w:szCs w:val="20"/>
          <w:color w:val="auto"/>
        </w:rPr>
      </w:pPr>
    </w:p>
    <w:p>
      <w:pPr>
        <w:ind w:right="60" w:firstLine="416"/>
        <w:spacing w:after="0" w:line="264" w:lineRule="auto"/>
        <w:rPr>
          <w:sz w:val="20"/>
          <w:szCs w:val="20"/>
          <w:color w:val="auto"/>
        </w:rPr>
      </w:pPr>
      <w:r>
        <w:rPr>
          <w:rFonts w:ascii="Arial" w:cs="Arial" w:eastAsia="Arial" w:hAnsi="Arial"/>
          <w:sz w:val="18"/>
          <w:szCs w:val="18"/>
          <w:color w:val="auto"/>
        </w:rPr>
        <w:t>The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w:t>
      </w:r>
    </w:p>
    <w:p>
      <w:pPr>
        <w:spacing w:after="0" w:line="18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European Medicines Agency, or EMA, from approving another marketing application for the same drug for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89"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Although we have obtained orphan drug designation for MDX to treat Fragile X in the United States, we may not be the first to obtain marketing approval for any particular orphan indication due to the uncertainties associated with developing pharmaceutical products. Further, even if we obtain orphan drug exclusivity for a product, that exclusivity may not effectively protect the product from competition because different drugs with different active moieties can be approved for the same condition. Even after an orphan drug is approved, the FDA can subsequently approve a different drug for the same condition if the FDA concludes that the later drug is clinically superior in that it is shown to be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89"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We have obtained fast track designation from the FDA for MDX for the treatment of Fragile X. However, fast track designation may not lead to a faster development or regulatory review or approval process, and it does not increase the likelihood that our product candidate will receive marketing approval.</w:t>
      </w:r>
    </w:p>
    <w:p>
      <w:pPr>
        <w:spacing w:after="0" w:line="101"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If a product is intended for the treatment of a serious or life-threatening condition and the product candidate demonstrates the potential to address unmet needs for this condition, the sponsor may apply for FDA fast track designation. If the fast track designation is obtained, the FDA may initiate review of sections of an NDA, before the application is complete. This “rolling review” is available if the applicant provides, and the FDA approves, a schedule for submission of the individual sections of the application. In addition, such a product could be eligible for priority review if supported by clinical data at the time of NDA (if the product is indicated for a serious condition and demonstrates the “Potential To Be a Significant Improvement in Safety or Effectiveness”). A priority review designation means the FDA’s goal is to take action on the marketing application within six months of receipt (compared with 10 months under standard review), and the sponsor may apply for a priority review designation when the NDA is submitted to the FDA. In September 2015, the FDA notified us that we had obtained fast track designation for MDX for the treatment of Fragile X. Fast track designation does not ensure that we will experience a faster development, regulatory review or approval process compared to conventional FDA procedures or that we will ultimately obtain regulatory approval of MDX. Additionally, the FDA may withdraw fast track designation if it believes that the designation is no longer supported by data from our clinical development program.</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777" w:gutter="0" w:footer="0" w:header="0"/>
        </w:sectPr>
      </w:pPr>
    </w:p>
    <w:bookmarkStart w:id="10" w:name="page11"/>
    <w:bookmarkEnd w:id="10"/>
    <w:p>
      <w:pPr>
        <w:ind w:right="14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MDX or any other product candidate that we develop and affect the prices we may obtain.</w:t>
      </w:r>
    </w:p>
    <w:p>
      <w:pPr>
        <w:spacing w:after="0" w:line="170" w:lineRule="exact"/>
        <w:rPr>
          <w:sz w:val="20"/>
          <w:szCs w:val="20"/>
          <w:color w:val="auto"/>
        </w:rPr>
      </w:pPr>
    </w:p>
    <w:p>
      <w:pPr>
        <w:jc w:val="both"/>
        <w:ind w:right="60" w:firstLine="416"/>
        <w:spacing w:after="0" w:line="28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MDX or any other product candidate that we develop, restrict or regulate post-approval activities and affect our ability to profitably sell MDX or any other product candidate for which we obtain marketing approval.</w:t>
      </w:r>
    </w:p>
    <w:p>
      <w:pPr>
        <w:spacing w:after="0" w:line="166"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MDX,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100" w:firstLine="416"/>
        <w:spacing w:after="0" w:line="290"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6" w:lineRule="exact"/>
        <w:rPr>
          <w:sz w:val="20"/>
          <w:szCs w:val="20"/>
          <w:color w:val="auto"/>
        </w:rPr>
      </w:pPr>
    </w:p>
    <w:p>
      <w:pPr>
        <w:ind w:right="20" w:firstLine="416"/>
        <w:spacing w:after="0" w:line="269" w:lineRule="auto"/>
        <w:rPr>
          <w:sz w:val="20"/>
          <w:szCs w:val="20"/>
          <w:color w:val="auto"/>
        </w:rPr>
      </w:pPr>
      <w:r>
        <w:rPr>
          <w:rFonts w:ascii="Arial" w:cs="Arial" w:eastAsia="Arial" w:hAnsi="Arial"/>
          <w:sz w:val="17"/>
          <w:szCs w:val="17"/>
          <w:color w:val="auto"/>
        </w:rPr>
        <w:t>In March 2010, the Patient Protection and Affordable Care Act, as amended by the Health Care and Education Reconciliation Act of 2010, or collectively PPACA, was enacted. The PPACA is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While the U.S. Supreme Court upheld the constitutionality of most elements of the PPACA in June 2012, other legal challenges are still pending final adjudication in several jurisdictions. In addition, Congress has also proposed a number of legislative initiatives, including possible repeal of the PPACA. At this time, it remains unclear whether there will be any changes made to the PPACA, whether to certain provisions or its entirety. We can provide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Even if MDX or any other product candidate that we develop receives marketing approval, we will continue to face extensive regulatory requirements and the product may still face future development and regulatory difficulties.</w:t>
      </w:r>
    </w:p>
    <w:p>
      <w:pPr>
        <w:spacing w:after="0" w:line="170" w:lineRule="exact"/>
        <w:rPr>
          <w:sz w:val="20"/>
          <w:szCs w:val="20"/>
          <w:color w:val="auto"/>
        </w:rPr>
      </w:pPr>
    </w:p>
    <w:p>
      <w:pPr>
        <w:ind w:firstLine="416"/>
        <w:spacing w:after="0" w:line="288" w:lineRule="auto"/>
        <w:rPr>
          <w:sz w:val="20"/>
          <w:szCs w:val="20"/>
          <w:color w:val="auto"/>
        </w:rPr>
      </w:pPr>
      <w:r>
        <w:rPr>
          <w:rFonts w:ascii="Arial" w:cs="Arial" w:eastAsia="Arial" w:hAnsi="Arial"/>
          <w:sz w:val="16"/>
          <w:szCs w:val="16"/>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MDX, if it is approved for marketing, may include restrictions on use, such as limitations on how ADHD is defined and diagnosed or limiting MDX to second-line or concomitant therapy. In addition, the labeling may include significant restrictions on use. MDX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69" w:lineRule="exact"/>
        <w:rPr>
          <w:sz w:val="20"/>
          <w:szCs w:val="20"/>
          <w:color w:val="auto"/>
        </w:rPr>
      </w:pPr>
    </w:p>
    <w:p>
      <w:pPr>
        <w:ind w:right="500" w:firstLine="416"/>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157" w:lineRule="exact"/>
        <w:rPr>
          <w:sz w:val="20"/>
          <w:szCs w:val="20"/>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 w:name="page12"/>
    <w:bookmarkEnd w:id="11"/>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 or</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12"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MDX outside of the United States, a variety of risks associated with international operations could materially adversely affect our business.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If MDX is approved for commercialization outside the United States, we will likely enter into agreements with third parties to market MDX outside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United States. We expect that we will be subject to additional risks related to entering into or maintaining international business relationships, including:</w:t>
      </w:r>
    </w:p>
    <w:p>
      <w:pPr>
        <w:spacing w:after="0" w:line="209" w:lineRule="exact"/>
        <w:rPr>
          <w:sz w:val="20"/>
          <w:szCs w:val="20"/>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98" w:lineRule="exact"/>
        <w:rPr>
          <w:rFonts w:ascii="Arial" w:cs="Arial" w:eastAsia="Arial" w:hAnsi="Arial"/>
          <w:sz w:val="18"/>
          <w:szCs w:val="18"/>
          <w:color w:val="auto"/>
        </w:rPr>
      </w:pPr>
    </w:p>
    <w:p>
      <w:pPr>
        <w:ind w:left="920" w:right="160" w:hanging="453"/>
        <w:spacing w:after="0" w:line="246"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9"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12"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MDX.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receive marketing approval for MDX, sales will be limited unless the product achieves broad market acceptance.</w:t>
      </w:r>
    </w:p>
    <w:p>
      <w:pPr>
        <w:spacing w:after="0" w:line="225" w:lineRule="exact"/>
        <w:rPr>
          <w:sz w:val="20"/>
          <w:szCs w:val="20"/>
          <w:color w:val="auto"/>
        </w:rPr>
      </w:pPr>
    </w:p>
    <w:p>
      <w:pPr>
        <w:ind w:firstLine="415"/>
        <w:spacing w:after="0" w:line="264" w:lineRule="auto"/>
        <w:rPr>
          <w:sz w:val="20"/>
          <w:szCs w:val="20"/>
          <w:color w:val="auto"/>
        </w:rPr>
      </w:pPr>
      <w:r>
        <w:rPr>
          <w:rFonts w:ascii="Arial" w:cs="Arial" w:eastAsia="Arial" w:hAnsi="Arial"/>
          <w:sz w:val="18"/>
          <w:szCs w:val="18"/>
          <w:color w:val="auto"/>
        </w:rPr>
        <w:t>The commercial success of MDX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95" w:right="259" w:bottom="1440" w:gutter="0" w:footer="0" w:header="0"/>
        </w:sectPr>
      </w:pPr>
    </w:p>
    <w:bookmarkStart w:id="12" w:name="page13"/>
    <w:bookmarkEnd w:id="12"/>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approved labeling;</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agreed to by us as part of a mandatory or voluntary risk management plan;</w:t>
      </w:r>
    </w:p>
    <w:p>
      <w:pPr>
        <w:spacing w:after="0" w:line="198" w:lineRule="exact"/>
        <w:rPr>
          <w:rFonts w:ascii="Arial" w:cs="Arial" w:eastAsia="Arial" w:hAnsi="Arial"/>
          <w:sz w:val="18"/>
          <w:szCs w:val="18"/>
          <w:color w:val="auto"/>
        </w:rPr>
      </w:pPr>
    </w:p>
    <w:p>
      <w:pPr>
        <w:ind w:left="920" w:right="300" w:hanging="453"/>
        <w:spacing w:after="0" w:line="307"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availability of alternative treatments, including, in the case of MDX, a number of competitive products already approved for the treatment of ADHD (or Fragile X, or other cognitive dysfunctions, as the case may be) or expected to be commercially launched in the near future;</w:t>
      </w:r>
    </w:p>
    <w:p>
      <w:pPr>
        <w:spacing w:after="0" w:line="123" w:lineRule="exact"/>
        <w:rPr>
          <w:rFonts w:ascii="Arial" w:cs="Arial" w:eastAsia="Arial" w:hAnsi="Arial"/>
          <w:sz w:val="16"/>
          <w:szCs w:val="16"/>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or any future collaborators’ sales and marketing strategies;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w:t>
      </w:r>
    </w:p>
    <w:p>
      <w:pPr>
        <w:spacing w:after="0" w:line="212"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If MDX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MDX may include restrictions on use, such as limitations on how ADHD is defined and diagnosed, limiting the use of MDX to a specific population, such as a defined age group, or limiting MDX to second-line or concomitant therapy. The FDA may impose further requirements or restrictions on the distribution or use of MDX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MDX, physicians may nevertheless prescribe MDX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will be difficult for us to profitably sell MDX if reimbursement for the product is limited.</w:t>
      </w:r>
    </w:p>
    <w:p>
      <w:pPr>
        <w:spacing w:after="0" w:line="225" w:lineRule="exact"/>
        <w:rPr>
          <w:sz w:val="20"/>
          <w:szCs w:val="20"/>
          <w:color w:val="auto"/>
        </w:rPr>
      </w:pPr>
    </w:p>
    <w:p>
      <w:pPr>
        <w:ind w:right="60" w:firstLine="416"/>
        <w:spacing w:after="0" w:line="271" w:lineRule="auto"/>
        <w:rPr>
          <w:sz w:val="20"/>
          <w:szCs w:val="20"/>
          <w:color w:val="auto"/>
        </w:rPr>
      </w:pPr>
      <w:r>
        <w:rPr>
          <w:rFonts w:ascii="Arial" w:cs="Arial" w:eastAsia="Arial" w:hAnsi="Arial"/>
          <w:sz w:val="17"/>
          <w:szCs w:val="17"/>
          <w:color w:val="auto"/>
        </w:rPr>
        <w:t>Market acceptance and sales of MDX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MDX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65" w:lineRule="exact"/>
        <w:rPr>
          <w:sz w:val="20"/>
          <w:szCs w:val="20"/>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effective; and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95" w:right="299" w:bottom="1440" w:gutter="0" w:footer="0" w:header="0"/>
        </w:sectPr>
      </w:pPr>
    </w:p>
    <w:bookmarkStart w:id="13" w:name="page14"/>
    <w:bookmarkEnd w:id="13"/>
    <w:p>
      <w:pPr>
        <w:ind w:firstLine="416"/>
        <w:spacing w:after="0" w:line="273" w:lineRule="auto"/>
        <w:rPr>
          <w:sz w:val="20"/>
          <w:szCs w:val="20"/>
          <w:color w:val="auto"/>
        </w:rPr>
      </w:pPr>
      <w:r>
        <w:rPr>
          <w:rFonts w:ascii="Arial" w:cs="Arial" w:eastAsia="Arial" w:hAnsi="Arial"/>
          <w:sz w:val="17"/>
          <w:szCs w:val="17"/>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48"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Before they can begin commercial manufacture of MDX,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88" w:lineRule="exact"/>
        <w:rPr>
          <w:sz w:val="20"/>
          <w:szCs w:val="20"/>
          <w:color w:val="auto"/>
        </w:rPr>
      </w:pPr>
    </w:p>
    <w:p>
      <w:pPr>
        <w:ind w:right="320" w:firstLine="416"/>
        <w:spacing w:after="0" w:line="286" w:lineRule="auto"/>
        <w:rPr>
          <w:sz w:val="20"/>
          <w:szCs w:val="20"/>
          <w:color w:val="auto"/>
        </w:rPr>
      </w:pPr>
      <w:r>
        <w:rPr>
          <w:rFonts w:ascii="Arial" w:cs="Arial" w:eastAsia="Arial" w:hAnsi="Arial"/>
          <w:sz w:val="17"/>
          <w:szCs w:val="17"/>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currently have no manufacturing, sales or distribution capabilities to market and sell MDX. If we do not establish these capabilities we will rely primarily on third parties to market and sell MDX.</w:t>
      </w:r>
    </w:p>
    <w:p>
      <w:pPr>
        <w:spacing w:after="0" w:line="170" w:lineRule="exact"/>
        <w:rPr>
          <w:sz w:val="20"/>
          <w:szCs w:val="20"/>
          <w:color w:val="auto"/>
        </w:rPr>
      </w:pPr>
    </w:p>
    <w:p>
      <w:pPr>
        <w:ind w:right="180" w:firstLine="416"/>
        <w:spacing w:after="0" w:line="257" w:lineRule="auto"/>
        <w:rPr>
          <w:sz w:val="20"/>
          <w:szCs w:val="20"/>
          <w:color w:val="auto"/>
        </w:rPr>
      </w:pPr>
      <w:r>
        <w:rPr>
          <w:rFonts w:ascii="Arial" w:cs="Arial" w:eastAsia="Arial" w:hAnsi="Arial"/>
          <w:sz w:val="18"/>
          <w:szCs w:val="18"/>
          <w:color w:val="auto"/>
        </w:rPr>
        <w:t>While we have begun to implement pre-commercialization activities, we currently have no manufacturing, sales or distribution capabilities. To the extent we rely on third parties to commercialize MDX, if marketing approval is obtained, we may receive less revenue than if we commercialized MDX ourselves. In addition, we would have less control over the sales efforts of any third parties involved in our commercialization efforts. In the event we are unable to collaborate with a third-party marketing and sales organization to commercialize MDX, particularly for broader patient populations, our ability to generate revenue will be limited.</w:t>
      </w:r>
    </w:p>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market is subject to intense competition. If we are unable to compete effectively, MDX or any other product candidate that we develop may be rendered noncompetitive or obsolete.</w:t>
      </w:r>
    </w:p>
    <w:p>
      <w:pPr>
        <w:spacing w:after="0" w:line="170" w:lineRule="exact"/>
        <w:rPr>
          <w:sz w:val="20"/>
          <w:szCs w:val="20"/>
          <w:color w:val="auto"/>
        </w:rPr>
      </w:pPr>
    </w:p>
    <w:p>
      <w:pPr>
        <w:ind w:firstLine="415"/>
        <w:spacing w:after="0" w:line="287"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we are. The FDA has not approved any drugs specifically for the treatment of Fragile X or its symptoms, although there are several pharmaceutical companies with compounds to treat Fragile X in late stage clinical development. Patients and doctors are often unwilling to change medications, and this factor will make it difficult for MDX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MDX or other product candidates we may have in the future. Smaller or early stage companies may also prove to be significant competitors, particularly through collaborative arrangements with large, established companies. These companies may have products in development that are superior to MDX. Key competitive factors affecting the commercial success of MDX and any other product candidates that we may develop in the future are likely to be efficacy, time of onset, safety and tolerability profile, reliability, convenience of dosing, price and reimbursement.</w:t>
      </w:r>
    </w:p>
    <w:p>
      <w:pPr>
        <w:spacing w:after="0" w:line="173"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Established competitors may invest heavily to quickly discover and develop novel compounds that could make MDX or other product candidates we may develop obsolete.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MDX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MDX or any other product candidate that we develop non-competitive or obsolete.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225" w:lineRule="exact"/>
        <w:rPr>
          <w:sz w:val="20"/>
          <w:szCs w:val="20"/>
          <w:color w:val="auto"/>
        </w:rPr>
      </w:pPr>
    </w:p>
    <w:p>
      <w:pPr>
        <w:ind w:right="40" w:firstLine="415"/>
        <w:spacing w:after="0" w:line="312" w:lineRule="auto"/>
        <w:rPr>
          <w:sz w:val="20"/>
          <w:szCs w:val="20"/>
          <w:color w:val="auto"/>
        </w:rPr>
      </w:pPr>
      <w:r>
        <w:rPr>
          <w:rFonts w:ascii="Arial" w:cs="Arial" w:eastAsia="Arial" w:hAnsi="Arial"/>
          <w:sz w:val="16"/>
          <w:szCs w:val="16"/>
          <w:color w:val="auto"/>
        </w:rPr>
        <w:t>The use of MDX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4" w:name="page15"/>
    <w:bookmarkEnd w:id="14"/>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MDX or any other product candidate for which we obtain marketing approval;</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of our business reputation and exposure to adverse publicity;</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warnings on product labels;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successfully commercialize MDX or any other product candidate for which we obtain marketing approval.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lawsuits are successfully brought against us, our insurance may be inadequate.</w:t>
      </w:r>
    </w:p>
    <w:p>
      <w:pPr>
        <w:spacing w:after="0" w:line="225" w:lineRule="exact"/>
        <w:rPr>
          <w:sz w:val="20"/>
          <w:szCs w:val="20"/>
          <w:color w:val="auto"/>
        </w:rPr>
      </w:pPr>
    </w:p>
    <w:p>
      <w:pPr>
        <w:ind w:right="100" w:firstLine="416"/>
        <w:spacing w:after="0" w:line="288" w:lineRule="auto"/>
        <w:rPr>
          <w:sz w:val="20"/>
          <w:szCs w:val="20"/>
          <w:color w:val="auto"/>
        </w:rPr>
      </w:pPr>
      <w:r>
        <w:rPr>
          <w:rFonts w:ascii="Arial" w:cs="Arial" w:eastAsia="Arial" w:hAnsi="Arial"/>
          <w:sz w:val="16"/>
          <w:szCs w:val="16"/>
          <w:color w:val="auto"/>
        </w:rPr>
        <w:t>We obtained clinical trial insurance coverage for our Phase 3 clinical trial in adult ADHD with a $5.0 million aggregate coverage limit in the United States and Israel and we expect that we will obtain additional insurance as we conduct additional clinical trials. However, our insurance coverage may not be sufficient to reimburse us for any expenses or losses we may suffer. Moreover, the insurance market experiences significant changes from year to year due to various factors including the international claims record and general reinsurance terms. Therefore, coverage may become more expensive, and, in the future, we may not be able to maintain insurance coverage at a reasonable cost or in sufficient amounts to protect us against losses due to liability. If and when we obtain marketing approval for MDX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69" w:lineRule="exact"/>
        <w:rPr>
          <w:sz w:val="20"/>
          <w:szCs w:val="20"/>
          <w:color w:val="auto"/>
        </w:rPr>
      </w:pPr>
    </w:p>
    <w:p>
      <w:pPr>
        <w:ind w:right="500" w:firstLine="416"/>
        <w:spacing w:after="0" w:line="302"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70"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We are an emerging biopharmaceutical company with a limited operating history. We are in the development stage. To date, we have focused almost exclusively on developing our lead compound, MDX. We have funded our operations to date primarily through proceeds from the private placement and public offering of ordinary shares and convertible notes.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year ended December 31, 2014 and 2015 was approximately $32.8 million, and $19.5 million, respectively. As of December 31, 2015, we had an accumulated deficit of $71 million. Substantially all of our operating losses resulted from costs incurred in connection with our development program and from general and administrative costs associated with our operations.</w:t>
      </w:r>
    </w:p>
    <w:p>
      <w:pPr>
        <w:spacing w:after="0" w:line="182"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research and development expenses may increase in connection with our clinical development plan. In addition, if we obtain marketing approval for MDX, we will likely incur significant sales, marketing and outsourced manufacturing expenses, as well as continued research and development expenses. Furthermore, we incur and will continue to incur additional costs associated with operating as a public company, which are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have not generated any revenue from MDX or any other product candidate and may never be profitable.</w:t>
      </w:r>
    </w:p>
    <w:p>
      <w:pPr>
        <w:spacing w:after="0" w:line="225"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our development stage product candidate, MDX, and we do not know when, or if, we will generate any revenue. We do not expect to generate significant revenue from sales of our product candidate unless or until we obtain marketing approval of, and commercialize, MDX. Our ability to generate revenue depends on a number of factors, including our ability to:</w:t>
      </w:r>
    </w:p>
    <w:p>
      <w:pPr>
        <w:spacing w:after="0" w:line="173"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favorable results from and progress the clinical development of MDX;</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protocols for MDX;</w:t>
      </w:r>
    </w:p>
    <w:p>
      <w:pPr>
        <w:spacing w:after="0" w:line="198" w:lineRule="exact"/>
        <w:rPr>
          <w:rFonts w:ascii="Arial" w:cs="Arial" w:eastAsia="Arial" w:hAnsi="Arial"/>
          <w:sz w:val="18"/>
          <w:szCs w:val="18"/>
          <w:color w:val="auto"/>
        </w:rPr>
      </w:pPr>
    </w:p>
    <w:p>
      <w:pPr>
        <w:ind w:left="920" w:right="420" w:hanging="453"/>
        <w:spacing w:after="0" w:line="246"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successful completion of registration, clinical trials and perhaps additional clinical trials of MDX, apply for and obtain marketing approval;</w:t>
      </w:r>
    </w:p>
    <w:p>
      <w:pPr>
        <w:spacing w:after="0" w:line="169" w:lineRule="exact"/>
        <w:rPr>
          <w:rFonts w:ascii="Arial" w:cs="Arial" w:eastAsia="Arial" w:hAnsi="Arial"/>
          <w:sz w:val="18"/>
          <w:szCs w:val="18"/>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 for the manufacture of commercial quantities of MDX at acceptable cost levels if marketing approval is received; and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 sales and marketing capabilities, both internal and external, to effectively market and sell MDX in the United States and other countries.</w:t>
      </w:r>
    </w:p>
    <w:p>
      <w:pPr>
        <w:spacing w:after="0" w:line="235" w:lineRule="exact"/>
        <w:rPr>
          <w:sz w:val="20"/>
          <w:szCs w:val="20"/>
          <w:color w:val="auto"/>
        </w:rPr>
      </w:pPr>
    </w:p>
    <w:p>
      <w:pPr>
        <w:ind w:right="360" w:firstLine="416"/>
        <w:spacing w:after="0" w:line="259" w:lineRule="auto"/>
        <w:rPr>
          <w:sz w:val="20"/>
          <w:szCs w:val="20"/>
          <w:color w:val="auto"/>
        </w:rPr>
      </w:pPr>
      <w:r>
        <w:rPr>
          <w:rFonts w:ascii="Arial" w:cs="Arial" w:eastAsia="Arial" w:hAnsi="Arial"/>
          <w:sz w:val="18"/>
          <w:szCs w:val="18"/>
          <w:color w:val="auto"/>
        </w:rPr>
        <w:t>Even if MDX is approved for commercial sale for the treatment of ADHD or Fragile X,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substantial additional capital in the future. If additional capital is not available, we will have to delay, reduce or cease operations.</w:t>
      </w:r>
    </w:p>
    <w:p>
      <w:pPr>
        <w:spacing w:after="0" w:line="248" w:lineRule="exact"/>
        <w:rPr>
          <w:sz w:val="20"/>
          <w:szCs w:val="20"/>
          <w:color w:val="auto"/>
        </w:rPr>
      </w:pPr>
    </w:p>
    <w:p>
      <w:pPr>
        <w:ind w:firstLine="416"/>
        <w:spacing w:after="0" w:line="277" w:lineRule="auto"/>
        <w:rPr>
          <w:sz w:val="20"/>
          <w:szCs w:val="20"/>
          <w:color w:val="auto"/>
        </w:rPr>
      </w:pPr>
      <w:r>
        <w:rPr>
          <w:rFonts w:ascii="Arial" w:cs="Arial" w:eastAsia="Arial" w:hAnsi="Arial"/>
          <w:sz w:val="18"/>
          <w:szCs w:val="18"/>
          <w:color w:val="auto"/>
        </w:rPr>
        <w:t>We may need to raise substantial additional capital to fund our operations and to develop and commercialize MDX. Our future capital requirements may be substantial and will depend on many factors including:</w:t>
      </w:r>
    </w:p>
    <w:p>
      <w:pPr>
        <w:spacing w:after="0" w:line="157" w:lineRule="exact"/>
        <w:rPr>
          <w:sz w:val="20"/>
          <w:szCs w:val="20"/>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clinical trials results;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MDX;</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timing and outcomes of seeking marketing approval of MDX;</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the cost of defending our issued patents and future patents, if issued;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prosecuting infringement actions against third parties;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exploration and possible label expansion of MDX for the treatment of other conditions;</w:t>
      </w:r>
    </w:p>
    <w:p>
      <w:pPr>
        <w:spacing w:after="0" w:line="198" w:lineRule="exact"/>
        <w:rPr>
          <w:rFonts w:ascii="Arial" w:cs="Arial" w:eastAsia="Arial" w:hAnsi="Arial"/>
          <w:sz w:val="18"/>
          <w:szCs w:val="18"/>
          <w:color w:val="auto"/>
        </w:rPr>
      </w:pPr>
    </w:p>
    <w:p>
      <w:pPr>
        <w:ind w:left="920" w:right="60" w:hanging="453"/>
        <w:spacing w:after="0" w:line="246"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commercializing MDX if we receive marketing approval, including the cost and timing of establishing sales, marketing and distribution capabilities to market and sell MDX;</w:t>
      </w:r>
    </w:p>
    <w:p>
      <w:pPr>
        <w:spacing w:after="0" w:line="169"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manufacturing MDX;</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sales of MDX, if any;</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receipt of marketing approval, revenue received from sales of approved products, if any, in the future;</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the expansion of our product pipeline;</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1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Based on our current operating plan, we anticipate that our existing resources will be sufficient to enable us to maintain our currently planned operations, including our continued product development, through 2017. We believe these funds will enable us, among other things, to complete our ongoing second Phase 3 clinical trial in adult ADHD and our planned clinical trials in pediatric ADHD and Fragile X.. Our operating plan may significantly change as a result of new clinical data or other considerations related to our clinical development plan.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6" w:name="page17"/>
    <w:bookmarkEnd w:id="16"/>
    <w:p>
      <w:pPr>
        <w:ind w:right="80" w:firstLine="405"/>
        <w:spacing w:after="0" w:line="312" w:lineRule="auto"/>
        <w:rPr>
          <w:sz w:val="20"/>
          <w:szCs w:val="20"/>
          <w:color w:val="auto"/>
        </w:rPr>
      </w:pPr>
      <w:r>
        <w:rPr>
          <w:rFonts w:ascii="Arial" w:cs="Arial" w:eastAsia="Arial" w:hAnsi="Arial"/>
          <w:sz w:val="16"/>
          <w:szCs w:val="16"/>
          <w:color w:val="auto"/>
        </w:rPr>
        <w:t>We will require significant additional funds to initiate and complete the FDA approval process.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33" w:lineRule="exact"/>
        <w:rPr>
          <w:sz w:val="20"/>
          <w:szCs w:val="20"/>
          <w:color w:val="auto"/>
        </w:rPr>
      </w:pPr>
    </w:p>
    <w:p>
      <w:pPr>
        <w:ind w:left="920" w:hanging="45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limit, reduce, or terminate clinical trials or other development activities for MDX; or</w:t>
      </w:r>
    </w:p>
    <w:p>
      <w:pPr>
        <w:spacing w:after="0" w:line="198" w:lineRule="exact"/>
        <w:rPr>
          <w:rFonts w:ascii="Arial" w:cs="Arial" w:eastAsia="Arial" w:hAnsi="Arial"/>
          <w:sz w:val="18"/>
          <w:szCs w:val="18"/>
          <w:color w:val="auto"/>
        </w:rPr>
      </w:pPr>
    </w:p>
    <w:p>
      <w:pPr>
        <w:ind w:left="920" w:right="120" w:hanging="453"/>
        <w:spacing w:after="0" w:line="246"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commercialize MDX, if we obtain marketing approval.</w:t>
      </w:r>
    </w:p>
    <w:p>
      <w:pPr>
        <w:spacing w:after="0" w:line="18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addition, we may seek additional capital due to favorable market conditions or strategic considerations even if we believe we have sufficient funds for our current or future operating plans.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48"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We have in the past and may continue to seek additional capital through a combination of private and public equity offerings, debt financings and collaborations and strategic and licensing arrangements. Including our initial public offering in 2013, we have completed four underwritten public offerings to date. To the extent that we raise additional capital through the sale of equity or convertible notes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capacity and may choose to rely on third-party manufacturers for our products.</w:t>
      </w:r>
    </w:p>
    <w:p>
      <w:pPr>
        <w:spacing w:after="0" w:line="225"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do not currently operate manufacturing facilities for clinical production of MDX. We do not intend to develop facilities for the manufacture of products for clinical trials or commercial purposes in the foreseeable future. We will rely on third-party manufacturers to produce bulk drug products required for our clinical trials on a timely basis. We plan to continue to rely upon CMOs and, potentially, collaboration partners to manufacture commercial quantities of our drug product candidates if and when approved for marketing by the applicable regulatory authorities. If the third-party manufacturing sources we rely on cease to be available to us on commercially reasonable terms or on a timely basis, we may not be able to complete development, production and marketing of MDX.</w:t>
      </w:r>
    </w:p>
    <w:p>
      <w:pPr>
        <w:spacing w:after="0" w:line="193"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based on its own business priorities, at a time that is costly or damaging to us. We will be dependent on the ability of these third-party manufacturers to produce supplies of drug product adequate to support our clinical development programs and future commercialization of our MDX. In addition, the FDA and other regulatory authorities require that MDX be manufactured according to cGMP and similar foreign standards. Any failure by our third-party manufacturers to comply with cGMP or failure to scale up manufacturing processes, including any failure to deliver sufficient quantities of MDX in a timely manner, could lead to a delay in, or failure to obtain, regulatory approval for trial initiation or marketing of MDX. In addition, such failure could be the basis for action by the FDA to withdraw approvals for product candidates previously granted to us and for other regulatory action, including recall or seizure, fines, imposition of operating restrictions, total or partial suspension of production or injunctions.</w:t>
      </w:r>
    </w:p>
    <w:p>
      <w:pPr>
        <w:spacing w:after="0" w:line="183" w:lineRule="exact"/>
        <w:rPr>
          <w:sz w:val="20"/>
          <w:szCs w:val="20"/>
          <w:color w:val="auto"/>
        </w:rPr>
      </w:pPr>
    </w:p>
    <w:p>
      <w:pPr>
        <w:ind w:right="40" w:firstLine="416"/>
        <w:spacing w:after="0" w:line="289" w:lineRule="auto"/>
        <w:rPr>
          <w:sz w:val="20"/>
          <w:szCs w:val="20"/>
          <w:color w:val="auto"/>
        </w:rPr>
      </w:pPr>
      <w:r>
        <w:rPr>
          <w:rFonts w:ascii="Arial" w:cs="Arial" w:eastAsia="Arial" w:hAnsi="Arial"/>
          <w:sz w:val="16"/>
          <w:szCs w:val="16"/>
          <w:color w:val="auto"/>
        </w:rPr>
        <w:t>We have limited staffing and rely on our manufacturers to purchase from third-party suppliers the materials necessary to produce MDX for our clinical studies. There are a small number of suppliers for certain capital equipment and materials that we use to manufacture our drugs. Such suppliers may not sell these materials to our manufacturers at the times we need them or on commercially reasonable terms. We do not have any control over the process or timing of the acquisition of these materials by our manufacturers. Moreover, we currently do not have any agreements for the commercial production of these materials. Although we generally do not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If our manufacturers or we are unable to purchase these materials after regulatory approval has been obtained for MDX, its commercial launch would be delayed or there would be a shortage in supply, either of which would impair our ability to generate revenues from the sale of MDX.</w:t>
      </w:r>
    </w:p>
    <w:p>
      <w:pPr>
        <w:spacing w:after="0" w:line="167" w:lineRule="exact"/>
        <w:rPr>
          <w:sz w:val="20"/>
          <w:szCs w:val="20"/>
          <w:color w:val="auto"/>
        </w:rPr>
      </w:pPr>
    </w:p>
    <w:p>
      <w:pPr>
        <w:ind w:right="160" w:firstLine="416"/>
        <w:spacing w:after="0" w:line="257" w:lineRule="auto"/>
        <w:rPr>
          <w:sz w:val="20"/>
          <w:szCs w:val="20"/>
          <w:color w:val="auto"/>
        </w:rPr>
      </w:pPr>
      <w:r>
        <w:rPr>
          <w:rFonts w:ascii="Arial" w:cs="Arial" w:eastAsia="Arial" w:hAnsi="Arial"/>
          <w:sz w:val="18"/>
          <w:szCs w:val="18"/>
          <w:color w:val="auto"/>
        </w:rPr>
        <w:t>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MDX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right="200" w:firstLine="416"/>
        <w:spacing w:after="0" w:line="279" w:lineRule="auto"/>
        <w:rPr>
          <w:sz w:val="20"/>
          <w:szCs w:val="20"/>
          <w:color w:val="auto"/>
        </w:rPr>
      </w:pPr>
      <w:r>
        <w:rPr>
          <w:rFonts w:ascii="Arial" w:cs="Arial" w:eastAsia="Arial" w:hAnsi="Arial"/>
          <w:sz w:val="17"/>
          <w:szCs w:val="17"/>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71" w:lineRule="exact"/>
        <w:rPr>
          <w:sz w:val="20"/>
          <w:szCs w:val="20"/>
          <w:color w:val="auto"/>
        </w:rPr>
      </w:pPr>
    </w:p>
    <w:p>
      <w:pPr>
        <w:jc w:val="both"/>
        <w:ind w:right="20" w:firstLine="416"/>
        <w:spacing w:after="0" w:line="264" w:lineRule="auto"/>
        <w:rPr>
          <w:sz w:val="20"/>
          <w:szCs w:val="20"/>
          <w:color w:val="auto"/>
        </w:rPr>
      </w:pPr>
      <w:r>
        <w:rPr>
          <w:rFonts w:ascii="Arial" w:cs="Arial" w:eastAsia="Arial" w:hAnsi="Arial"/>
          <w:sz w:val="18"/>
          <w:szCs w:val="18"/>
          <w:color w:val="auto"/>
        </w:rPr>
        <w:t>Our existing manufacturers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MDX would be interrupted, resulting in delays and additional costs.</w:t>
      </w:r>
    </w:p>
    <w:p>
      <w:pPr>
        <w:spacing w:after="0" w:line="181" w:lineRule="exact"/>
        <w:rPr>
          <w:sz w:val="20"/>
          <w:szCs w:val="20"/>
          <w:color w:val="auto"/>
        </w:rPr>
      </w:pPr>
    </w:p>
    <w:p>
      <w:pPr>
        <w:ind w:right="140" w:firstLine="416"/>
        <w:spacing w:after="0" w:line="264" w:lineRule="auto"/>
        <w:rPr>
          <w:sz w:val="20"/>
          <w:szCs w:val="20"/>
          <w:color w:val="auto"/>
        </w:rPr>
      </w:pPr>
      <w:r>
        <w:rPr>
          <w:rFonts w:ascii="Arial" w:cs="Arial" w:eastAsia="Arial" w:hAnsi="Arial"/>
          <w:sz w:val="18"/>
          <w:szCs w:val="18"/>
          <w:color w:val="auto"/>
        </w:rPr>
        <w:t>In addition, because some of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70"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167"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81"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81" w:lineRule="exact"/>
        <w:rPr>
          <w:sz w:val="20"/>
          <w:szCs w:val="20"/>
          <w:color w:val="auto"/>
        </w:rPr>
      </w:pPr>
    </w:p>
    <w:p>
      <w:pPr>
        <w:ind w:right="100" w:firstLine="416"/>
        <w:spacing w:after="0" w:line="302" w:lineRule="auto"/>
        <w:rPr>
          <w:sz w:val="20"/>
          <w:szCs w:val="20"/>
          <w:color w:val="auto"/>
        </w:rPr>
      </w:pPr>
      <w:r>
        <w:rPr>
          <w:rFonts w:ascii="Arial" w:cs="Arial" w:eastAsia="Arial" w:hAnsi="Arial"/>
          <w:sz w:val="16"/>
          <w:szCs w:val="16"/>
          <w:color w:val="auto"/>
        </w:rPr>
        <w:t>Even with respect to certain other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acceptable terms or at all.</w:t>
      </w:r>
    </w:p>
    <w:p>
      <w:pPr>
        <w:spacing w:after="0" w:line="154"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depend on third parties to conduct our clinical trials.</w:t>
      </w:r>
    </w:p>
    <w:p>
      <w:pPr>
        <w:spacing w:after="0" w:line="225" w:lineRule="exact"/>
        <w:rPr>
          <w:sz w:val="20"/>
          <w:szCs w:val="20"/>
          <w:color w:val="auto"/>
        </w:rPr>
      </w:pPr>
    </w:p>
    <w:p>
      <w:pPr>
        <w:ind w:right="20" w:firstLine="416"/>
        <w:spacing w:after="0" w:line="290" w:lineRule="auto"/>
        <w:rPr>
          <w:sz w:val="20"/>
          <w:szCs w:val="20"/>
          <w:color w:val="auto"/>
        </w:rPr>
      </w:pPr>
      <w:r>
        <w:rPr>
          <w:rFonts w:ascii="Arial" w:cs="Arial" w:eastAsia="Arial" w:hAnsi="Arial"/>
          <w:sz w:val="16"/>
          <w:szCs w:val="16"/>
          <w:color w:val="auto"/>
        </w:rPr>
        <w:t>We rely on third parties, such as CROs, medical institutions, clinical investigators and contract laboratories to oversee some of the operations of our clinical trials and to perform data collection and analysis. If we are unable to maintain or enter into agreements with these third parties on acceptable terms, or if any such agreement is terminated, we may be unable to enroll patients on a timely basis or otherwise conduct our trials in the manner we anticipate. Even if we are able to maintain or enter into such agreements,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MDX or any other potential product candidates could be harmed, our costs could increase and our ability to obtain regulatory approval and commence product sales could be delayed.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have filed multiple patent applications and have three issued patents by the U.S. PTO, and 11 issued patents in other jurisdictions. There can be no assurance that any of our other patent applications will result in issued patents. As a result, we may have limited protection of our proprietary technology in the marketplace.</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right="60" w:firstLine="416"/>
        <w:spacing w:after="0" w:line="268" w:lineRule="auto"/>
        <w:rPr>
          <w:sz w:val="20"/>
          <w:szCs w:val="20"/>
          <w:color w:val="auto"/>
        </w:rPr>
      </w:pPr>
      <w:r>
        <w:rPr>
          <w:rFonts w:ascii="Arial" w:cs="Arial" w:eastAsia="Arial" w:hAnsi="Arial"/>
          <w:sz w:val="17"/>
          <w:szCs w:val="17"/>
          <w:color w:val="auto"/>
        </w:rPr>
        <w:t>We have filed patent applications in many countries worldwide. These applications cover a range of areas including: different formulations of metadoxine, uses of metadoxine for cognitive impairments, new molecular derivatives of metadoxine, and methods for determining responsiveness to metadoxine treatment. As of December 31, 2015, we have three issued U.S. patents, covering the composition of the sustained release form of MDX, the use of metadoxine for ADHD, and new molecular derivatives of metadoxine. We also have six issued patents in Australia, Japan, India, Mexico, Russia and Europe that cover the composition of the sustained release form of MDX. The European patent includes the following territories: Austria, Belgium, Bulgaria, Switzerland, Cyprus, Czech Republic, Germany, Denmark, Estonia, Spain, Finland, France, United Kingdom, Greece, Croatia, Hungary, Ireland, Iceland, Italy, Lithuania, Latvia, Luxembourg, Monaco, Malta, Netherlands, Norway, Poland, Portugal, Romania, Sweden, Slovenia, Slovakia and Turkey. Additionally, we have five issued patents in Australia, China, Japan, Mexico and New Zealand that cover the use of metadoxine for ADHD. Unless and until other pending applications issue, their additional protective scope is impossible to determine. It is impossible to predict whether or how many of these additional applications will result in issued patents. Even if pending applications issue, they may issue with claims significantly narrower than those we currently seek. The patent position of biotechnology and pharmaceutical companies is generally uncertain because it involves complex legal and factual considerations. The standards applied by the U.S. 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w:t>
      </w:r>
    </w:p>
    <w:p>
      <w:pPr>
        <w:spacing w:after="0" w:line="1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patent positions of pharmaceutical products are complex and uncertain and therefore we cannot predict the scope and extent of patent protection for MDX with respect to our issued patents, or any patents we may be issued in the future.</w:t>
      </w:r>
    </w:p>
    <w:p>
      <w:pPr>
        <w:spacing w:after="0" w:line="170" w:lineRule="exact"/>
        <w:rPr>
          <w:sz w:val="20"/>
          <w:szCs w:val="20"/>
          <w:color w:val="auto"/>
        </w:rPr>
      </w:pPr>
    </w:p>
    <w:p>
      <w:pPr>
        <w:ind w:right="100" w:firstLine="416"/>
        <w:spacing w:after="0" w:line="277" w:lineRule="auto"/>
        <w:rPr>
          <w:sz w:val="20"/>
          <w:szCs w:val="20"/>
          <w:color w:val="auto"/>
        </w:rPr>
      </w:pPr>
      <w:r>
        <w:rPr>
          <w:rFonts w:ascii="Arial" w:cs="Arial" w:eastAsia="Arial" w:hAnsi="Arial"/>
          <w:sz w:val="18"/>
          <w:szCs w:val="18"/>
          <w:color w:val="auto"/>
        </w:rPr>
        <w:t>The patents we were issued as well as any additional patents that may in the future issue to us will not ensure the protection of our intellectual property for a number of reasons, including without limitation the following:</w:t>
      </w:r>
    </w:p>
    <w:p>
      <w:pPr>
        <w:spacing w:after="0" w:line="157" w:lineRule="exact"/>
        <w:rPr>
          <w:sz w:val="20"/>
          <w:szCs w:val="20"/>
          <w:color w:val="auto"/>
        </w:rPr>
      </w:pPr>
    </w:p>
    <w:p>
      <w:pPr>
        <w:ind w:left="920" w:hanging="453"/>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issued patents may not be broad or strong enough to prevent competition from other products including identical or similar products;</w:t>
      </w:r>
    </w:p>
    <w:p>
      <w:pPr>
        <w:spacing w:after="0" w:line="209" w:lineRule="exact"/>
        <w:rPr>
          <w:rFonts w:ascii="Arial" w:cs="Arial" w:eastAsia="Arial" w:hAnsi="Arial"/>
          <w:sz w:val="17"/>
          <w:szCs w:val="17"/>
          <w:color w:val="auto"/>
        </w:rPr>
      </w:pPr>
    </w:p>
    <w:p>
      <w:pPr>
        <w:ind w:left="920" w:hanging="453"/>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are not issued additional patents or if issued patents expire, there would be no protections against competitors making generic equivalents;</w:t>
      </w:r>
    </w:p>
    <w:p>
      <w:pPr>
        <w:spacing w:after="0" w:line="221" w:lineRule="exact"/>
        <w:rPr>
          <w:rFonts w:ascii="Arial" w:cs="Arial" w:eastAsia="Arial" w:hAnsi="Arial"/>
          <w:sz w:val="16"/>
          <w:szCs w:val="16"/>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other patents existing in the patent landscape for MDX that will affect our freedom to operate;</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our issued patents or future patents, if issued, are challenged, a court could determine that they are not valid or enforceable;</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our issued patents or future patents, if issued;</w:t>
      </w:r>
    </w:p>
    <w:p>
      <w:pPr>
        <w:spacing w:after="0" w:line="198" w:lineRule="exact"/>
        <w:rPr>
          <w:rFonts w:ascii="Arial" w:cs="Arial" w:eastAsia="Arial" w:hAnsi="Arial"/>
          <w:sz w:val="18"/>
          <w:szCs w:val="18"/>
          <w:color w:val="auto"/>
        </w:rPr>
      </w:pPr>
    </w:p>
    <w:p>
      <w:pPr>
        <w:ind w:left="920" w:right="80" w:hanging="453"/>
        <w:spacing w:after="0" w:line="246"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9" w:lineRule="exact"/>
        <w:rPr>
          <w:rFonts w:ascii="Arial" w:cs="Arial" w:eastAsia="Arial" w:hAnsi="Arial"/>
          <w:sz w:val="18"/>
          <w:szCs w:val="18"/>
          <w:color w:val="auto"/>
        </w:rPr>
      </w:pPr>
    </w:p>
    <w:p>
      <w:pPr>
        <w:ind w:left="920" w:right="60" w:hanging="453"/>
        <w:spacing w:after="0" w:line="246"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issued patents and future patents, if issued, could irretrievably lapse due to failure to pay fees or otherwise comply with regulations, or could be subject to compulsory licensing; and</w:t>
      </w:r>
    </w:p>
    <w:p>
      <w:pPr>
        <w:spacing w:after="0" w:line="169" w:lineRule="exact"/>
        <w:rPr>
          <w:rFonts w:ascii="Arial" w:cs="Arial" w:eastAsia="Arial" w:hAnsi="Arial"/>
          <w:sz w:val="18"/>
          <w:szCs w:val="18"/>
          <w:color w:val="auto"/>
        </w:rPr>
      </w:pPr>
    </w:p>
    <w:p>
      <w:pPr>
        <w:ind w:left="920" w:right="720" w:hanging="453"/>
        <w:spacing w:after="0" w:line="246"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70" w:lineRule="exact"/>
        <w:rPr>
          <w:sz w:val="20"/>
          <w:szCs w:val="20"/>
          <w:color w:val="auto"/>
        </w:rPr>
      </w:pPr>
    </w:p>
    <w:p>
      <w:pPr>
        <w:ind w:right="60" w:firstLine="416"/>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generally available. The manufacture of metadoxine and its use in other indications will not infringe our intellectual property rights, and will make it more difficult to monitor and enforce any patent rights that may be issued to us.</w:t>
      </w:r>
    </w:p>
    <w:p>
      <w:pPr>
        <w:spacing w:after="0" w:line="188" w:lineRule="exact"/>
        <w:rPr>
          <w:sz w:val="20"/>
          <w:szCs w:val="20"/>
          <w:color w:val="auto"/>
        </w:rPr>
      </w:pPr>
    </w:p>
    <w:p>
      <w:pPr>
        <w:ind w:right="100" w:firstLine="416"/>
        <w:spacing w:after="0" w:line="257" w:lineRule="auto"/>
        <w:rPr>
          <w:sz w:val="20"/>
          <w:szCs w:val="20"/>
          <w:color w:val="auto"/>
        </w:rPr>
      </w:pPr>
      <w:r>
        <w:rPr>
          <w:rFonts w:ascii="Arial" w:cs="Arial" w:eastAsia="Arial" w:hAnsi="Arial"/>
          <w:sz w:val="18"/>
          <w:szCs w:val="18"/>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88"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9" w:name="page20"/>
    <w:bookmarkEnd w:id="19"/>
    <w:p>
      <w:pPr>
        <w:ind w:right="8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70"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78"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ind w:right="20" w:firstLine="416"/>
        <w:spacing w:after="0" w:line="254" w:lineRule="auto"/>
        <w:rPr>
          <w:sz w:val="20"/>
          <w:szCs w:val="20"/>
          <w:color w:val="auto"/>
        </w:rPr>
      </w:pPr>
      <w:r>
        <w:rPr>
          <w:rFonts w:ascii="Arial" w:cs="Arial" w:eastAsia="Arial" w:hAnsi="Arial"/>
          <w:sz w:val="18"/>
          <w:szCs w:val="18"/>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70" w:lineRule="exact"/>
        <w:rPr>
          <w:sz w:val="20"/>
          <w:szCs w:val="20"/>
          <w:color w:val="auto"/>
        </w:rPr>
      </w:pPr>
    </w:p>
    <w:p>
      <w:pPr>
        <w:ind w:right="80" w:firstLine="389"/>
        <w:spacing w:after="0" w:line="253" w:lineRule="auto"/>
        <w:rPr>
          <w:sz w:val="20"/>
          <w:szCs w:val="20"/>
          <w:color w:val="auto"/>
        </w:rPr>
      </w:pPr>
      <w:r>
        <w:rPr>
          <w:rFonts w:ascii="Arial" w:cs="Arial" w:eastAsia="Arial" w:hAnsi="Arial"/>
          <w:sz w:val="18"/>
          <w:szCs w:val="18"/>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60" w:lineRule="exact"/>
        <w:rPr>
          <w:sz w:val="20"/>
          <w:szCs w:val="20"/>
          <w:color w:val="auto"/>
        </w:rPr>
      </w:pPr>
    </w:p>
    <w:p>
      <w:pPr>
        <w:ind w:right="140" w:firstLine="416"/>
        <w:spacing w:after="0" w:line="279" w:lineRule="auto"/>
        <w:rPr>
          <w:sz w:val="20"/>
          <w:szCs w:val="20"/>
          <w:color w:val="auto"/>
        </w:rPr>
      </w:pPr>
      <w:r>
        <w:rPr>
          <w:rFonts w:ascii="Arial" w:cs="Arial" w:eastAsia="Arial" w:hAnsi="Arial"/>
          <w:sz w:val="17"/>
          <w:szCs w:val="17"/>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MDX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71" w:lineRule="exact"/>
        <w:rPr>
          <w:sz w:val="20"/>
          <w:szCs w:val="20"/>
          <w:color w:val="auto"/>
        </w:rPr>
      </w:pPr>
    </w:p>
    <w:p>
      <w:pPr>
        <w:ind w:right="60" w:firstLine="416"/>
        <w:spacing w:after="0" w:line="259" w:lineRule="auto"/>
        <w:rPr>
          <w:sz w:val="20"/>
          <w:szCs w:val="20"/>
          <w:color w:val="auto"/>
        </w:rPr>
      </w:pPr>
      <w:r>
        <w:rPr>
          <w:rFonts w:ascii="Arial" w:cs="Arial" w:eastAsia="Arial" w:hAnsi="Arial"/>
          <w:sz w:val="18"/>
          <w:szCs w:val="18"/>
          <w:color w:val="auto"/>
        </w:rPr>
        <w:t>In addition, our patents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 and patent applications subject to challenge. Any of these challenges, regardless of their success, would likely be time consuming and expensive to defend and resolve and would divert our management’s time and attention.</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right="80"/>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our issued patents, or future patents, if issued, in general, thereby impairing our ability to protect our products.</w:t>
      </w:r>
    </w:p>
    <w:p>
      <w:pPr>
        <w:spacing w:after="0" w:line="170" w:lineRule="exact"/>
        <w:rPr>
          <w:sz w:val="20"/>
          <w:szCs w:val="20"/>
          <w:color w:val="auto"/>
        </w:rPr>
      </w:pPr>
    </w:p>
    <w:p>
      <w:pPr>
        <w:ind w:firstLine="416"/>
        <w:spacing w:after="0" w:line="290"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166"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ordinary shares to decline.</w:t>
      </w:r>
    </w:p>
    <w:p>
      <w:pPr>
        <w:spacing w:after="0" w:line="260" w:lineRule="exact"/>
        <w:rPr>
          <w:sz w:val="20"/>
          <w:szCs w:val="20"/>
          <w:color w:val="auto"/>
        </w:rPr>
      </w:pPr>
    </w:p>
    <w:p>
      <w:pPr>
        <w:ind w:right="400" w:firstLine="416"/>
        <w:spacing w:after="0" w:line="264" w:lineRule="auto"/>
        <w:rPr>
          <w:sz w:val="20"/>
          <w:szCs w:val="20"/>
          <w:color w:val="auto"/>
        </w:rPr>
      </w:pPr>
      <w:r>
        <w:rPr>
          <w:rFonts w:ascii="Arial" w:cs="Arial" w:eastAsia="Arial" w:hAnsi="Arial"/>
          <w:sz w:val="18"/>
          <w:szCs w:val="18"/>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ordinary shares may decline.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clinical-stage company with no approved products, which makes it difficult to assess our future viability.</w:t>
      </w:r>
    </w:p>
    <w:p>
      <w:pPr>
        <w:spacing w:after="0" w:line="225"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We are a clinical-stage biopharmaceutical company with a limited operating history. We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168" w:lineRule="exact"/>
        <w:rPr>
          <w:sz w:val="20"/>
          <w:szCs w:val="20"/>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execute product candidate development activities;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and maintain robust sales, distribution and marketing capabilities, either on our own or in collaboration with strategic partners;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market acceptance for our products;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maintain any strategic relationships we elect to enter into; and</w:t>
      </w:r>
    </w:p>
    <w:p>
      <w:pPr>
        <w:spacing w:after="0" w:line="198" w:lineRule="exact"/>
        <w:rPr>
          <w:rFonts w:ascii="Arial" w:cs="Arial" w:eastAsia="Arial" w:hAnsi="Arial"/>
          <w:sz w:val="18"/>
          <w:szCs w:val="18"/>
          <w:color w:val="auto"/>
        </w:rPr>
      </w:pPr>
    </w:p>
    <w:p>
      <w:pPr>
        <w:ind w:left="920" w:right="320" w:hanging="453"/>
        <w:spacing w:after="0" w:line="246"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drug discovery, pre-clinical development, clinical trials, regulatory approvals and commercialization.</w:t>
      </w:r>
    </w:p>
    <w:p>
      <w:pPr>
        <w:spacing w:after="0" w:line="183" w:lineRule="exact"/>
        <w:rPr>
          <w:sz w:val="20"/>
          <w:szCs w:val="20"/>
          <w:color w:val="auto"/>
        </w:rPr>
      </w:pPr>
    </w:p>
    <w:p>
      <w:pPr>
        <w:ind w:right="520" w:firstLine="416"/>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develop product candidates, raise capital, expand our business or continue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60" w:lineRule="exact"/>
        <w:rPr>
          <w:sz w:val="20"/>
          <w:szCs w:val="20"/>
          <w:color w:val="auto"/>
        </w:rPr>
      </w:pPr>
    </w:p>
    <w:p>
      <w:pPr>
        <w:ind w:right="60" w:firstLine="416"/>
        <w:spacing w:after="0" w:line="270" w:lineRule="auto"/>
        <w:rPr>
          <w:sz w:val="20"/>
          <w:szCs w:val="20"/>
          <w:color w:val="auto"/>
        </w:rPr>
      </w:pPr>
      <w:r>
        <w:rPr>
          <w:rFonts w:ascii="Arial" w:cs="Arial" w:eastAsia="Arial" w:hAnsi="Arial"/>
          <w:sz w:val="17"/>
          <w:szCs w:val="17"/>
          <w:color w:val="auto"/>
        </w:rPr>
        <w:t>Our key employees include our Chief Executive Officer, Dr. Yaron Daniely, who has been with us since 2010, our Chief Financial Officer and Chief Operating Officer, Dr. Tomer Berkovitz, who has been with us since 2014, our Chief Medical Officer, Dr. Jonathan Rubin, who has been with us since 2013, our Chief Commercial Officer, Mr. David Baker, who has been with us since 2014, our Senior Vice President CMC (chemistry, manufacturing and controls), Ms. Hanna Ron, who has been with us since 2011, our Senior Vice President Regulatory Affairs, Dr. Hagit Marchaim, who has been with us since 2014, our Vice President Finance, Ms. Irena Katsman, who has been with us since 2015, our Senior Vice President of Preclinical Development, Dr. Johanna Schumann, who has been with us since 2013, and our Director of Quality Assurance, Mr. Shlomi Ianovitz, who has been with us since 2015. Our future growth and success depend on our ability to recruit, retain, manage and motivate our employees and key consultants. The loss of the services of our chief executive officer, our chief financial officer or any of our key employees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074" w:gutter="0" w:footer="0" w:header="0"/>
        </w:sectPr>
      </w:pPr>
    </w:p>
    <w:bookmarkStart w:id="21" w:name="page22"/>
    <w:bookmarkEnd w:id="21"/>
    <w:p>
      <w:pPr>
        <w:ind w:right="60" w:firstLine="416"/>
        <w:spacing w:after="0" w:line="276" w:lineRule="auto"/>
        <w:rPr>
          <w:sz w:val="20"/>
          <w:szCs w:val="20"/>
          <w:color w:val="auto"/>
        </w:rPr>
      </w:pPr>
      <w:r>
        <w:rPr>
          <w:rFonts w:ascii="Arial" w:cs="Arial" w:eastAsia="Arial" w:hAnsi="Arial"/>
          <w:sz w:val="17"/>
          <w:szCs w:val="17"/>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our shareholders could lose confidence in our financial and other public reporting, which would harm our business and the trading price of our ordinary shares.</w:t>
      </w:r>
    </w:p>
    <w:p>
      <w:pPr>
        <w:spacing w:after="0" w:line="181" w:lineRule="exact"/>
        <w:rPr>
          <w:sz w:val="20"/>
          <w:szCs w:val="20"/>
          <w:color w:val="auto"/>
        </w:rPr>
      </w:pPr>
    </w:p>
    <w:p>
      <w:pPr>
        <w:ind w:firstLine="416"/>
        <w:spacing w:after="0" w:line="293"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ordinary shares.</w:t>
      </w:r>
    </w:p>
    <w:p>
      <w:pPr>
        <w:spacing w:after="0" w:line="165" w:lineRule="exact"/>
        <w:rPr>
          <w:sz w:val="20"/>
          <w:szCs w:val="20"/>
          <w:color w:val="auto"/>
        </w:rPr>
      </w:pPr>
    </w:p>
    <w:p>
      <w:pPr>
        <w:ind w:right="100" w:firstLine="416"/>
        <w:spacing w:after="0" w:line="293" w:lineRule="auto"/>
        <w:rPr>
          <w:sz w:val="20"/>
          <w:szCs w:val="20"/>
          <w:color w:val="auto"/>
        </w:rPr>
      </w:pPr>
      <w:r>
        <w:rPr>
          <w:rFonts w:ascii="Arial" w:cs="Arial" w:eastAsia="Arial" w:hAnsi="Arial"/>
          <w:sz w:val="16"/>
          <w:szCs w:val="16"/>
          <w:color w:val="auto"/>
        </w:rPr>
        <w:t>We are required to disclose changes made in our internal controls and procedures on an annual basis and our management is required to assess the effectiveness of these internal controls annually. However, for as long as we are an “emerging growth company” under the JOBS Act, our independent registered public accounting firm will not be required to attest to the effectiveness of our internal control over financial reporting pursuant to Section 404 of the Sarbanes-Oxley Act. We could be an emerging growth company for up to five years from our initial public offering in 2013.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significantly increase the size of our organization, and we may experience difficulties in managing growth.</w:t>
      </w:r>
    </w:p>
    <w:p>
      <w:pPr>
        <w:spacing w:after="0" w:line="225" w:lineRule="exact"/>
        <w:rPr>
          <w:sz w:val="20"/>
          <w:szCs w:val="20"/>
          <w:color w:val="auto"/>
        </w:rPr>
      </w:pPr>
    </w:p>
    <w:p>
      <w:pPr>
        <w:ind w:right="580" w:firstLine="416"/>
        <w:spacing w:after="0" w:line="312" w:lineRule="auto"/>
        <w:rPr>
          <w:sz w:val="20"/>
          <w:szCs w:val="20"/>
          <w:color w:val="auto"/>
        </w:rPr>
      </w:pPr>
      <w:r>
        <w:rPr>
          <w:rFonts w:ascii="Arial" w:cs="Arial" w:eastAsia="Arial" w:hAnsi="Arial"/>
          <w:sz w:val="16"/>
          <w:szCs w:val="16"/>
          <w:color w:val="auto"/>
        </w:rPr>
        <w:t>We currently have 19 employees, and in order to commercialize our products, we may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33" w:lineRule="exact"/>
        <w:rPr>
          <w:sz w:val="20"/>
          <w:szCs w:val="20"/>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1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175" w:lineRule="exact"/>
        <w:rPr>
          <w:sz w:val="20"/>
          <w:szCs w:val="20"/>
          <w:color w:val="auto"/>
        </w:rPr>
      </w:pPr>
    </w:p>
    <w:p>
      <w:pPr>
        <w:ind w:left="820" w:right="180" w:hanging="231"/>
        <w:spacing w:after="0" w:line="231"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Medicare-Medicaid Anti-Fraud and Abuse Act, as amended, or the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75" w:lineRule="exact"/>
        <w:rPr>
          <w:rFonts w:ascii="Arial" w:cs="Arial" w:eastAsia="Arial" w:hAnsi="Arial"/>
          <w:sz w:val="18"/>
          <w:szCs w:val="18"/>
          <w:color w:val="auto"/>
        </w:rPr>
      </w:pPr>
    </w:p>
    <w:p>
      <w:pPr>
        <w:ind w:left="820" w:right="120" w:hanging="231"/>
        <w:spacing w:after="0" w:line="276" w:lineRule="auto"/>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2" w:name="page23"/>
    <w:bookmarkEnd w:id="22"/>
    <w:p>
      <w:pPr>
        <w:ind w:left="820" w:right="140" w:hanging="231"/>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as amended by the Health Information Technology for Economic and Clinical Health Act, or HITECH,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177" w:lineRule="exact"/>
        <w:rPr>
          <w:rFonts w:ascii="Arial" w:cs="Arial" w:eastAsia="Arial" w:hAnsi="Arial"/>
          <w:sz w:val="17"/>
          <w:szCs w:val="17"/>
          <w:color w:val="auto"/>
        </w:rPr>
      </w:pPr>
    </w:p>
    <w:p>
      <w:pPr>
        <w:ind w:left="820" w:right="20" w:hanging="231"/>
        <w:spacing w:after="0" w:line="246"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delivery of or payment for healthcare benefits, items or services;</w:t>
      </w:r>
    </w:p>
    <w:p>
      <w:pPr>
        <w:spacing w:after="0" w:line="169" w:lineRule="exact"/>
        <w:rPr>
          <w:rFonts w:ascii="Arial" w:cs="Arial" w:eastAsia="Arial" w:hAnsi="Arial"/>
          <w:sz w:val="18"/>
          <w:szCs w:val="18"/>
          <w:color w:val="auto"/>
        </w:rPr>
      </w:pPr>
    </w:p>
    <w:p>
      <w:pPr>
        <w:ind w:left="820" w:right="20" w:hanging="231"/>
        <w:spacing w:after="0" w:line="235"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U.S. Department of Health and Human Services information related to physician payments and other transfers of value and physician ownership and investment interests;</w:t>
      </w:r>
    </w:p>
    <w:p>
      <w:pPr>
        <w:spacing w:after="0" w:line="175" w:lineRule="exact"/>
        <w:rPr>
          <w:rFonts w:ascii="Arial" w:cs="Arial" w:eastAsia="Arial" w:hAnsi="Arial"/>
          <w:sz w:val="18"/>
          <w:szCs w:val="18"/>
          <w:color w:val="auto"/>
        </w:rPr>
      </w:pPr>
    </w:p>
    <w:p>
      <w:pPr>
        <w:ind w:left="820" w:right="80" w:hanging="231"/>
        <w:spacing w:after="0" w:line="242"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75" w:lineRule="exact"/>
        <w:rPr>
          <w:rFonts w:ascii="Arial" w:cs="Arial" w:eastAsia="Arial" w:hAnsi="Arial"/>
          <w:sz w:val="17"/>
          <w:szCs w:val="17"/>
          <w:color w:val="auto"/>
        </w:rPr>
      </w:pPr>
    </w:p>
    <w:p>
      <w:pPr>
        <w:ind w:left="820" w:hanging="231"/>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 may also apply.</w:t>
      </w:r>
    </w:p>
    <w:p>
      <w:pPr>
        <w:spacing w:after="0" w:line="212" w:lineRule="exact"/>
        <w:rPr>
          <w:sz w:val="20"/>
          <w:szCs w:val="20"/>
          <w:color w:val="auto"/>
        </w:rPr>
      </w:pPr>
    </w:p>
    <w:p>
      <w:pPr>
        <w:ind w:right="40" w:firstLine="41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our employees commit fraud or other misconduct, including noncompliance with regulatory standards and requirements and insider trading, our business may experience serious adverse consequences.</w:t>
      </w:r>
    </w:p>
    <w:p>
      <w:pPr>
        <w:spacing w:after="0" w:line="170"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regulations, to provide accurate information to the FDA, to comply with manufacturing standards we have established, to comply with federal and state healthcare fraud and abuse laws and regulations,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0" w:lineRule="exact"/>
        <w:rPr>
          <w:sz w:val="20"/>
          <w:szCs w:val="20"/>
          <w:color w:val="auto"/>
        </w:rPr>
      </w:pPr>
    </w:p>
    <w:p>
      <w:pPr>
        <w:ind w:right="120" w:firstLine="416"/>
        <w:spacing w:after="0" w:line="293" w:lineRule="auto"/>
        <w:rPr>
          <w:sz w:val="20"/>
          <w:szCs w:val="20"/>
          <w:color w:val="auto"/>
        </w:rPr>
      </w:pPr>
      <w:r>
        <w:rPr>
          <w:rFonts w:ascii="Arial" w:cs="Arial" w:eastAsia="Arial" w:hAnsi="Arial"/>
          <w:sz w:val="16"/>
          <w:szCs w:val="16"/>
          <w:color w:val="auto"/>
        </w:rPr>
        <w:t>In addition, during the course of our operations, our directors, executives and employees may have access to material, nonpublic information regarding our business, our results of operations or potential transactions we are considering. Despite the adoption of an Insider Trading Policy, we may not be able to prevent a director, executive or employee from trading in our ordinary shares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macroeconomic conditions.</w:t>
      </w:r>
    </w:p>
    <w:p>
      <w:pPr>
        <w:spacing w:after="0" w:line="225" w:lineRule="exact"/>
        <w:rPr>
          <w:sz w:val="20"/>
          <w:szCs w:val="20"/>
          <w:color w:val="auto"/>
        </w:rPr>
      </w:pPr>
    </w:p>
    <w:p>
      <w:pPr>
        <w:ind w:right="20" w:firstLine="416"/>
        <w:spacing w:after="0" w:line="279" w:lineRule="auto"/>
        <w:rPr>
          <w:sz w:val="20"/>
          <w:szCs w:val="20"/>
          <w:color w:val="auto"/>
        </w:rPr>
      </w:pPr>
      <w:r>
        <w:rPr>
          <w:rFonts w:ascii="Arial" w:cs="Arial" w:eastAsia="Arial" w:hAnsi="Arial"/>
          <w:sz w:val="17"/>
          <w:szCs w:val="17"/>
          <w:color w:val="auto"/>
        </w:rPr>
        <w:t>A deterioration in global economic conditions and uncertainties may have an adverse effect on our business. Interest rates and the ability to access credit markets could adversely affect the ability of patients and distributors to purchase, pay for and effectively distribute our products. Similarly, these macroeconomic factors could affect the ability of our CMOs, sole-source or single-source suppliers to remain in business or otherwise manufacture or supply product. Failure by any of them to remain a going concern could affect our ability to manufacture products.</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do not know whether a market for our ordinary shares will be sustained or what the market price of our ordinary shares will be and as a result it may be difficult for you to sell your shares.</w:t>
      </w:r>
    </w:p>
    <w:p>
      <w:pPr>
        <w:spacing w:after="0" w:line="170" w:lineRule="exact"/>
        <w:rPr>
          <w:sz w:val="20"/>
          <w:szCs w:val="20"/>
          <w:color w:val="auto"/>
        </w:rPr>
      </w:pPr>
    </w:p>
    <w:p>
      <w:pPr>
        <w:ind w:right="140" w:firstLine="416"/>
        <w:spacing w:after="0" w:line="257" w:lineRule="auto"/>
        <w:rPr>
          <w:sz w:val="20"/>
          <w:szCs w:val="20"/>
          <w:color w:val="auto"/>
        </w:rPr>
      </w:pPr>
      <w:r>
        <w:rPr>
          <w:rFonts w:ascii="Arial" w:cs="Arial" w:eastAsia="Arial" w:hAnsi="Arial"/>
          <w:sz w:val="18"/>
          <w:szCs w:val="18"/>
          <w:color w:val="auto"/>
        </w:rPr>
        <w:t>Although our ordinary shares are quoted on the NASDAQ Global Market, an active trading market for our shares may not be sustained. It may be difficult for you to sell your shares at all or without depressing the market price for the shares. As a result of these and other factors, you may not be able to sell your ordinary shares at or above the price you paid for such shares or at all. In addition, the trading price of our ordinary shares has been and is likely to continue to be volatile. The following factors, in addition to other risk factors described in this section, may have a significant impact on the market price of our ordinary shares:</w:t>
      </w:r>
    </w:p>
    <w:p>
      <w:pPr>
        <w:spacing w:after="0" w:line="175" w:lineRule="exact"/>
        <w:rPr>
          <w:sz w:val="20"/>
          <w:szCs w:val="20"/>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further clinical trials;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198" w:lineRule="exact"/>
        <w:rPr>
          <w:rFonts w:ascii="Arial" w:cs="Arial" w:eastAsia="Arial" w:hAnsi="Arial"/>
          <w:sz w:val="18"/>
          <w:szCs w:val="18"/>
          <w:color w:val="auto"/>
        </w:rPr>
      </w:pPr>
    </w:p>
    <w:p>
      <w:pPr>
        <w:ind w:left="920" w:right="380" w:hanging="453"/>
        <w:spacing w:after="0" w:line="246"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69"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adverse actions taken by regulatory agencies with respect to our clinical trials, manufacturing supply chain or sales and marketing activities;</w:t>
      </w:r>
    </w:p>
    <w:p>
      <w:pPr>
        <w:spacing w:after="0" w:line="221" w:lineRule="exact"/>
        <w:rPr>
          <w:rFonts w:ascii="Arial" w:cs="Arial" w:eastAsia="Arial" w:hAnsi="Arial"/>
          <w:sz w:val="16"/>
          <w:szCs w:val="16"/>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MDX;</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pharmaceuticals; or</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substantial sales of our ordinary shares.</w:t>
      </w:r>
    </w:p>
    <w:p>
      <w:pPr>
        <w:spacing w:after="0" w:line="212"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In addition, the stock market in general, and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any number of legal proceedings.</w:t>
      </w:r>
    </w:p>
    <w:p>
      <w:pPr>
        <w:spacing w:after="0" w:line="225" w:lineRule="exact"/>
        <w:rPr>
          <w:sz w:val="20"/>
          <w:szCs w:val="20"/>
          <w:color w:val="auto"/>
        </w:rPr>
      </w:pPr>
    </w:p>
    <w:p>
      <w:pPr>
        <w:ind w:right="40" w:firstLine="416"/>
        <w:spacing w:after="0" w:line="287" w:lineRule="auto"/>
        <w:rPr>
          <w:sz w:val="20"/>
          <w:szCs w:val="20"/>
          <w:color w:val="auto"/>
        </w:rPr>
      </w:pPr>
      <w:r>
        <w:rPr>
          <w:rFonts w:ascii="Arial" w:cs="Arial" w:eastAsia="Arial" w:hAnsi="Arial"/>
          <w:sz w:val="16"/>
          <w:szCs w:val="16"/>
          <w:color w:val="auto"/>
        </w:rPr>
        <w:t>On December 16, 2014, a class action lawsuit was filed against us and certain of our current and former officers and directors in the United States District Court for the Southern District of New York. The complaint, brought by a putative class of investors, alleges, among other things, that our officers and directors made false or misleading statements relating to the results of our Phase 3 study for our MDX drug candidate. On May 20, 2015, we moved to dismiss the complaint. The motion to dismiss has been fully briefed, and oral argument occurred on September 22, 2015, and the court’s decision remains pending. Such legal proceedings, regardless of their outcome, could be costly, divert management attention, or damage our reputation and demand for our products. Litigation, particularly in the United States, is inherently unpredictable and unexpectedly high awards of damages can result if we receive an adverse verdict. In many cases, particularly in the United States, the practice of the plaintiffs’ bar is to claim damages (compensatory, punitive and statutory) in extremely high amounts. Accordingly, it is difficult to quantify the potential exposure to claims in many proceedings of the type mentioned above. Unfavorable resolution of current and similar future proceedings could have a material adverse effect on our financial condition and results of operations. We may become subject to monetary and/or non-monetary sanctions and/or may be required to make significant provisions in our accounts related to legal proceedings, which could have a material adverse effect on our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our ordinary shares in the public market by our existing shareholders could cause our share price to fall.</w:t>
      </w:r>
    </w:p>
    <w:p>
      <w:pPr>
        <w:spacing w:after="0" w:line="237"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Sales of a substantial number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4" w:name="page25"/>
    <w:bookmarkEnd w:id="24"/>
    <w:p>
      <w:pPr>
        <w:ind w:right="120"/>
        <w:spacing w:after="0" w:line="277" w:lineRule="auto"/>
        <w:rPr>
          <w:sz w:val="20"/>
          <w:szCs w:val="20"/>
          <w:color w:val="auto"/>
        </w:rPr>
      </w:pPr>
      <w:r>
        <w:rPr>
          <w:rFonts w:ascii="Arial" w:cs="Arial" w:eastAsia="Arial" w:hAnsi="Arial"/>
          <w:sz w:val="18"/>
          <w:szCs w:val="18"/>
          <w:b w:val="1"/>
          <w:bCs w:val="1"/>
          <w:i w:val="1"/>
          <w:iCs w:val="1"/>
          <w:color w:val="auto"/>
        </w:rPr>
        <w:t>If we were to be characterized as a “passive foreign investment company” for U.S. tax purposes, U.S. holders of our ordinary shares could have adverse U.S. income tax consequences.</w:t>
      </w:r>
    </w:p>
    <w:p>
      <w:pPr>
        <w:spacing w:after="0" w:line="170" w:lineRule="exact"/>
        <w:rPr>
          <w:sz w:val="20"/>
          <w:szCs w:val="20"/>
          <w:color w:val="auto"/>
        </w:rPr>
      </w:pPr>
    </w:p>
    <w:p>
      <w:pPr>
        <w:ind w:right="20" w:firstLine="416"/>
        <w:spacing w:after="0" w:line="286" w:lineRule="auto"/>
        <w:rPr>
          <w:sz w:val="20"/>
          <w:szCs w:val="20"/>
          <w:color w:val="auto"/>
        </w:rPr>
      </w:pPr>
      <w:r>
        <w:rPr>
          <w:rFonts w:ascii="Arial" w:cs="Arial" w:eastAsia="Arial" w:hAnsi="Arial"/>
          <w:sz w:val="16"/>
          <w:szCs w:val="16"/>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Based on the nature of our business, the projected composition of our income and the projected composition and estimated fair market values of our assets, we believe that we may be deemed a PFIC. In particular, in light of the complexity of PFIC rules, we cannot assure you that we have not been a PFIC in prior years or are not a PFIC or will avoid becoming a PFIC in the future. Were we to be classified as a PFIC, a U.S. investor may be able to mitigate some of the adverse U.S. federal income tax consequences with respect to owning the ordinary shares for our taxable year ending December 31, 2015, provided that such U.S. investor is eligible to make, and successfully makes, a “mark-to-market” election. U.S. investors could also mitigate some of the adverse U.S. federal income tax consequences of us being classified as a PFIC by making a “qualified electing fund” election, provided that we provide the information necessary for a U.S. investor to make such an election. We intend to make available to U.S. investors upon request the information necessary for U.S. holders to make qualified electing fund elections. U.S. Holders are strongly urged to consult their tax advisors about the PFIC rules, including tax return filing requirements and the eligibility, manner, and consequences to them of making a QEF or mark-to-market election with respect to our Ordinary Shares in the event we that qualify as a PFIC. For more information see Item 10E. Taxation “U.S. Federal Income Tax Consequences.”</w:t>
      </w:r>
    </w:p>
    <w:p>
      <w:pPr>
        <w:spacing w:after="0" w:line="17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24"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70"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imposes certain restrictions on our ability to declare and pay dividends. See Item 10.B. Articles of Association “Dividend and Liquidation Rights”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require significant company resources and management attention.</w:t>
      </w:r>
    </w:p>
    <w:p>
      <w:pPr>
        <w:spacing w:after="0" w:line="225" w:lineRule="exact"/>
        <w:rPr>
          <w:sz w:val="20"/>
          <w:szCs w:val="20"/>
          <w:color w:val="auto"/>
        </w:rPr>
      </w:pPr>
    </w:p>
    <w:p>
      <w:pPr>
        <w:ind w:firstLine="416"/>
        <w:spacing w:after="0" w:line="276" w:lineRule="auto"/>
        <w:rPr>
          <w:sz w:val="20"/>
          <w:szCs w:val="20"/>
          <w:color w:val="auto"/>
        </w:rPr>
      </w:pPr>
      <w:r>
        <w:rPr>
          <w:rFonts w:ascii="Arial" w:cs="Arial" w:eastAsia="Arial" w:hAnsi="Arial"/>
          <w:sz w:val="17"/>
          <w:szCs w:val="17"/>
          <w:color w:val="auto"/>
        </w:rPr>
        <w:t>We are subject to the reporting requirements of the Exchange Act the Sarbanes-Oxley Act,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incur additional legal, accounting and other expenses that we did not incur as a nonpublic company. These expenses are at least several hundred thousand dollars annually.</w:t>
      </w:r>
    </w:p>
    <w:p>
      <w:pPr>
        <w:spacing w:after="0" w:line="17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The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81" w:lineRule="exact"/>
        <w:rPr>
          <w:sz w:val="20"/>
          <w:szCs w:val="20"/>
          <w:color w:val="auto"/>
        </w:rPr>
      </w:pPr>
    </w:p>
    <w:p>
      <w:pPr>
        <w:ind w:right="100" w:firstLine="415"/>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57" w:lineRule="exact"/>
        <w:rPr>
          <w:sz w:val="20"/>
          <w:szCs w:val="20"/>
          <w:color w:val="auto"/>
        </w:rPr>
      </w:pPr>
    </w:p>
    <w:p>
      <w:pPr>
        <w:ind w:left="920" w:right="240" w:hanging="453"/>
        <w:spacing w:after="0" w:line="246"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69" w:lineRule="exact"/>
        <w:rPr>
          <w:rFonts w:ascii="Arial" w:cs="Arial" w:eastAsia="Arial" w:hAnsi="Arial"/>
          <w:sz w:val="18"/>
          <w:szCs w:val="18"/>
          <w:color w:val="auto"/>
        </w:rPr>
      </w:pPr>
    </w:p>
    <w:p>
      <w:pPr>
        <w:ind w:left="920" w:right="640" w:hanging="453"/>
        <w:spacing w:after="0" w:line="246"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not to comply with new accounting principles that do not apply to public companies until such accounting principles become applicable to private companies; and</w:t>
      </w:r>
    </w:p>
    <w:p>
      <w:pPr>
        <w:spacing w:after="0" w:line="169" w:lineRule="exact"/>
        <w:rPr>
          <w:rFonts w:ascii="Arial" w:cs="Arial" w:eastAsia="Arial" w:hAnsi="Arial"/>
          <w:sz w:val="18"/>
          <w:szCs w:val="18"/>
          <w:color w:val="auto"/>
        </w:rPr>
      </w:pPr>
    </w:p>
    <w:p>
      <w:pPr>
        <w:ind w:left="920" w:right="160" w:hanging="453"/>
        <w:spacing w:after="0" w:line="246"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5" w:name="page26"/>
    <w:bookmarkEnd w:id="25"/>
    <w:p>
      <w:pPr>
        <w:jc w:val="both"/>
        <w:ind w:right="40" w:firstLine="405"/>
        <w:spacing w:after="0" w:line="288"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completion of our initial public offering in 2013, (b) in which we have total annual gross revenue of at least $1.0 billion, or (c) in which we are deemed to be a large accelerated filer, which means the market value of our</w:t>
      </w:r>
    </w:p>
    <w:p>
      <w:pPr>
        <w:ind w:right="120"/>
        <w:spacing w:after="0" w:line="205" w:lineRule="auto"/>
        <w:rPr>
          <w:sz w:val="20"/>
          <w:szCs w:val="20"/>
          <w:color w:val="auto"/>
        </w:rPr>
      </w:pPr>
      <w:r>
        <w:rPr>
          <w:rFonts w:ascii="Arial" w:cs="Arial" w:eastAsia="Arial" w:hAnsi="Arial"/>
          <w:sz w:val="18"/>
          <w:szCs w:val="18"/>
          <w:color w:val="auto"/>
        </w:rPr>
        <w:t>ordinary shares that is held by non-affiliates exceeds $700 million as of the prior June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 and (2) the date on which we have issued more than $1.0 billion in non-convertible debt during the prior three-year period.</w:t>
      </w:r>
    </w:p>
    <w:p>
      <w:pPr>
        <w:spacing w:after="0" w:line="203"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24"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01"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As a foreign private issuer, we are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82"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In addition, as a foreign private issuer,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domestic U.S. issuers whose securities are registered under the Exchange Act. Also, although a recent amendment to the Israeli Companies Law will require us to disclose the annual compensation of our five most highly compensated senior officers on an individual basis (rather than on an aggregate basis, as was permitted under the Israeli Companies Law for Israeli public companies listed overseas, such as in the United States, prior to such amendment), this disclosure will not be as extensive as that required of a U.S. domestic issuer. For example, it currently appears as if the disclosure required under Israeli law would be limited to compensation paid in the immediately preceding year without any requirement to disclose option exercises and vested stock options, pension benefits or potential payments upon termination or change of control. These exemptions and leniencies will reduce the frequency and scope of information and protections to which you are entitled as an investor.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387"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Our executive offices are located in Tel 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November 2012 and July 2014, Israel was engaged in an armed conflict with a militia group and political party which controls the Gaza Strip. In addition, recent political uprisings and conflicts in various countries in the Middle East, including Egypt and Syria, are affecting the political stability of those countries. It is not clear how this instability will develop and how it will affect the political and security situation in the Middle East. This instability has raised concerns regarding security in the region and the potential for armed conflict. In addition, it is widely believed that Iran, which has previously threatened to attack Israel, has been stepping up its efforts to achieve nuclear capability. Iran is also believed to have a strong influence among extremist groups in the region, such as Hamas in Gaza and Hezbollah in Lebanon. Additionally, the Islamic State of Iraq and Levant (ISIL), a violent jihadist group, is involved in hostilities in Iraq and Syria and has been growing in influence. Although ISIL’s activities have not directly affected the political and economic conditions in Israel, ISIL’s stated purpose is to take control of the Middle East, including Israel. The tension between Israel and Iran and/or these groups may escalate in the future and turn violent, which could affect the Israeli economy in general and us in particular. Any armed conflicts, terrorist activities or political instability in the region could adversely affect business conditions and could harm our results of operations and could make it more difficult for us to raise capital. 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91"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Although the Israeli government has in the past covered the reinstatement value of certain damages that were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6" w:name="page27"/>
    <w:bookmarkEnd w:id="26"/>
    <w:p>
      <w:pPr>
        <w:jc w:val="both"/>
        <w:ind w:right="40" w:firstLine="405"/>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conditions or the expansion of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currencies may increase our expenses.</w:t>
      </w:r>
    </w:p>
    <w:p>
      <w:pPr>
        <w:spacing w:after="0" w:line="22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vast majority of our expenses are in U.S. dollars and New Israeli Shekels, or NIS. Our functional currency is the U.S. dollar and substantially all of our financial resources are denominated by U.S. dollars. As a result, we are exposed to the risks that the NIS may appreciate relative to the U.S. dollar, or if the NIS instead devalues relative to the U.S. dollar, that the inflation rate in Israel may exceed such rate of devaluation of the NIS, or that the timing of such devaluation may lag behind inflation in Israel. In any such event, the U.S. dollar cost of our operations in Israel would increase and our U.S. dollar-denominated results of operations would be adversely affected. For instance, in 2015, approximately 20% of our expenses were denominated in New Israeli Shekels. Changes of 5% and 10% in the U.S. dollar - NIS exchange rate would have increased/decreased the operation expenses by 0.95% and 1.81%, respectively. The exchange rate as of December 31, 2015 was $1.00 = NIS 3.902. We cannot predict any future trends in the rate of inflation in Israel or the rate of devaluation (if any) of the NIS against the U.S. dollar.</w:t>
      </w:r>
    </w:p>
    <w:p>
      <w:pPr>
        <w:spacing w:after="0" w:line="17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81"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MDX, according to the OCS approval, the company is required to pay royalties from any income generated in connection with delayed release metadoxine tablets up to the total amount of grants received, linked to the U.S.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OCS. We may not receive those approvals. Furthermore, the OCS may impose certain conditions on any arrangement under which it permits us to transfer technology or development out of Israel (including for the purpose of manufacturing). Currently, under the Research Law, there is no mechanism for the approval of licensing transactions of OCS-supported technologies, however, licensing OCS supported technologies may under certain circumstances be considered a transfer of know-how and therefore requires approval as aforementioned.</w:t>
      </w:r>
    </w:p>
    <w:p>
      <w:pPr>
        <w:spacing w:after="0" w:line="18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transfer of OCS-supported technology or know-how outside of Israel may involve the payment of additional amounts depending upon the value of the transferred technology or know-how, the amount of OCS support, the time of completion of the OCS-supported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(particularly since currently there is no mechanism for the approval of licensing transactions of OCS supported technologies).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7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obligations and limitations pursuant to the Research Law are not limited in time and may not be terminated by us at will. As of the date hereof, we have not been required to pay any royalties with respect to the OCS grants. As of the date hereof, production of bulk drug substance and drug products required for our clinical trials does not involve manufacture of OCS supported products, technologies or know-how, and/or transfer of OCS supported technologies or know-how, and therefore no OCS committee approval has been sought after or required in connection with such production by our third-party manufacturers.</w:t>
      </w:r>
    </w:p>
    <w:p>
      <w:pPr>
        <w:spacing w:after="0" w:line="18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p>
      <w:pPr>
        <w:ind w:right="40" w:firstLine="405"/>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183"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Furthermore, Israeli tax considerations may make potential transactions unappealing to us or to our shareholders whose country of residence does not have a tax treaty with Israel exempting such shareholders from Israeli tax. See Item 10.E. Taxation “Israeli Taxation Considerations” for additional information.</w:t>
      </w:r>
    </w:p>
    <w:p>
      <w:pPr>
        <w:spacing w:after="0" w:line="18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Our amended and restated articles of association also contain provisions that could delay or prevent changes in control or changes in our management without the consent of our Board of Directors. These provisions include the following:</w:t>
      </w:r>
    </w:p>
    <w:p>
      <w:pPr>
        <w:spacing w:after="0" w:line="157" w:lineRule="exact"/>
        <w:rPr>
          <w:sz w:val="20"/>
          <w:szCs w:val="20"/>
          <w:color w:val="auto"/>
        </w:rPr>
      </w:pPr>
    </w:p>
    <w:p>
      <w:pPr>
        <w:ind w:left="920" w:hanging="453"/>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shareholders to elect director candidates; and</w:t>
      </w:r>
    </w:p>
    <w:p>
      <w:pPr>
        <w:spacing w:after="0" w:line="198" w:lineRule="exact"/>
        <w:rPr>
          <w:rFonts w:ascii="Arial" w:cs="Arial" w:eastAsia="Arial" w:hAnsi="Arial"/>
          <w:sz w:val="18"/>
          <w:szCs w:val="18"/>
          <w:color w:val="auto"/>
        </w:rPr>
      </w:pPr>
    </w:p>
    <w:p>
      <w:pPr>
        <w:ind w:left="920" w:right="20" w:hanging="453"/>
        <w:spacing w:after="0" w:line="275" w:lineRule="auto"/>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right of our Board of Directors to elect a director to fill a vacancy created by the expansion of the Board of Directors or the resignation, death or removal of a director, which may prevent shareholders from being able to fill vacancies on our Board of Directors.</w:t>
      </w:r>
    </w:p>
    <w:p>
      <w:pPr>
        <w:spacing w:after="0" w:line="160"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It may be difficult to enforce a judgment of a United States court against us and our officers and directors and the Israeli experts named herein in Israel or the United States, to assert United States securities laws claims in Israel or to serve process on our officers and directors and these experts.</w:t>
      </w:r>
    </w:p>
    <w:p>
      <w:pPr>
        <w:spacing w:after="0" w:line="10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We were incorporated in Israel. Most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w:t>
      </w:r>
    </w:p>
    <w:p>
      <w:pPr>
        <w:spacing w:after="0" w:line="173"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70" w:lineRule="exact"/>
        <w:rPr>
          <w:sz w:val="20"/>
          <w:szCs w:val="20"/>
          <w:color w:val="auto"/>
        </w:rPr>
      </w:pPr>
    </w:p>
    <w:p>
      <w:pPr>
        <w:ind w:right="20" w:firstLine="383"/>
        <w:spacing w:after="0" w:line="293" w:lineRule="auto"/>
        <w:rPr>
          <w:sz w:val="20"/>
          <w:szCs w:val="20"/>
          <w:color w:val="auto"/>
        </w:rPr>
      </w:pPr>
      <w:r>
        <w:rPr>
          <w:rFonts w:ascii="Arial" w:cs="Arial" w:eastAsia="Arial" w:hAnsi="Arial"/>
          <w:sz w:val="16"/>
          <w:szCs w:val="16"/>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fairness towards the Company and other shareholders, and to refrain from abusing its power in the Company. See Item 7. Major Shareholders and Related Party Transactions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anti-takeover provisions that could delay or prevent our acquisition by another entity.</w:t>
      </w:r>
    </w:p>
    <w:p>
      <w:pPr>
        <w:spacing w:after="0" w:line="225" w:lineRule="exact"/>
        <w:rPr>
          <w:sz w:val="20"/>
          <w:szCs w:val="20"/>
          <w:color w:val="auto"/>
        </w:rPr>
      </w:pPr>
    </w:p>
    <w:p>
      <w:pPr>
        <w:ind w:right="40" w:firstLine="383"/>
        <w:spacing w:after="0" w:line="255" w:lineRule="auto"/>
        <w:rPr>
          <w:sz w:val="20"/>
          <w:szCs w:val="20"/>
          <w:color w:val="auto"/>
        </w:rPr>
      </w:pPr>
      <w:r>
        <w:rPr>
          <w:rFonts w:ascii="Arial" w:cs="Arial" w:eastAsia="Arial" w:hAnsi="Arial"/>
          <w:sz w:val="18"/>
          <w:szCs w:val="18"/>
          <w:color w:val="auto"/>
        </w:rPr>
        <w:t>Provisions of Israeli corporate and tax law and of our articles of association may have the effect of delaying, preventing or making more difficult any merger or acquisition of us. In addition, any merger or acquisition of us will require the prior consent of the office of the chief scientist, or the Chief Scientist, if intellectual property is removed from Israel, as well as the Investment Center of the Israeli Ministry of Industry, Trade and Employment, or the Investment Center. Israeli law regulates mergers, votes required to approve a merger, acquisition of shares through tender offers and transactions involving significant shareholders. Any of these provisions may make it more difficult to acquire us. Accordingly, our acquisition by another entity could be delayed or prevented even if it would be beneficial to our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may be disrupted as a result of the obligation of management or key personnel or consultants to perform military service.</w:t>
      </w:r>
    </w:p>
    <w:p>
      <w:pPr>
        <w:spacing w:after="0" w:line="23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male employees and consultants in Israel, including members of our senior management, may be obligated to perform one month, and in some cases longer periods, of annual military reserve duty until they reach the age of 40 (or older, for citizens who hold certain positions in the Israeli armed forces reserves). In this connection, we note that our Chief Financial Officer and Chief Operating Officer, Dr. Tomer Berkovitz, is 36 years old. In the event of a military conflict, they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506" w:gutter="0" w:footer="0" w:header="0"/>
        </w:sectPr>
      </w:pPr>
    </w:p>
    <w:bookmarkStart w:id="28" w:name="page29"/>
    <w:bookmarkEnd w:id="28"/>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INFORMATION ON THE COMPANY</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4.A.</w:t>
      </w:r>
      <w:r>
        <w:rPr>
          <w:sz w:val="20"/>
          <w:szCs w:val="20"/>
          <w:color w:val="auto"/>
        </w:rPr>
        <w:tab/>
      </w:r>
      <w:r>
        <w:rPr>
          <w:rFonts w:ascii="Arial" w:cs="Arial" w:eastAsia="Arial" w:hAnsi="Arial"/>
          <w:sz w:val="16"/>
          <w:szCs w:val="16"/>
          <w:b w:val="1"/>
          <w:bCs w:val="1"/>
          <w:color w:val="auto"/>
        </w:rPr>
        <w:t>History and development</w:t>
      </w:r>
    </w:p>
    <w:p>
      <w:pPr>
        <w:spacing w:after="0" w:line="229" w:lineRule="exact"/>
        <w:rPr>
          <w:sz w:val="20"/>
          <w:szCs w:val="20"/>
          <w:color w:val="auto"/>
        </w:rPr>
      </w:pPr>
    </w:p>
    <w:p>
      <w:pPr>
        <w:ind w:right="20" w:firstLine="383"/>
        <w:spacing w:after="0" w:line="228" w:lineRule="auto"/>
        <w:rPr>
          <w:sz w:val="20"/>
          <w:szCs w:val="20"/>
          <w:color w:val="auto"/>
        </w:rPr>
      </w:pPr>
      <w:r>
        <w:rPr>
          <w:rFonts w:ascii="Arial" w:cs="Arial" w:eastAsia="Arial" w:hAnsi="Arial"/>
          <w:sz w:val="18"/>
          <w:szCs w:val="18"/>
          <w:color w:val="auto"/>
        </w:rPr>
        <w:t>We are an Israeli corporation based in Tel Aviv and were incorporated in 2008. Our principal executive offices are located at Azrieli Triangle Building, 132 Derech Menachem Begin, 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Tel Aviv 6701101 Israel, and our telephone number is +972 72 220 4661. Our website address is www.alcobra-pharma.com. The information contained on, or that can be accessed through, our website is not part of this form. We have included our website address herein solely as an inactive textual reference.</w:t>
      </w:r>
    </w:p>
    <w:p>
      <w:pPr>
        <w:spacing w:after="0" w:line="203" w:lineRule="exact"/>
        <w:rPr>
          <w:sz w:val="20"/>
          <w:szCs w:val="20"/>
          <w:color w:val="auto"/>
        </w:rPr>
      </w:pPr>
    </w:p>
    <w:p>
      <w:pPr>
        <w:ind w:right="20" w:firstLine="383"/>
        <w:spacing w:after="0" w:line="289" w:lineRule="auto"/>
        <w:rPr>
          <w:sz w:val="20"/>
          <w:szCs w:val="20"/>
          <w:color w:val="auto"/>
        </w:rPr>
      </w:pPr>
      <w:r>
        <w:rPr>
          <w:rFonts w:ascii="Arial" w:cs="Arial" w:eastAsia="Arial" w:hAnsi="Arial"/>
          <w:sz w:val="16"/>
          <w:szCs w:val="16"/>
          <w:color w:val="auto"/>
        </w:rPr>
        <w:t>We are an “emerging growth company,” as defined in Section 2(a) of the Securities Act of 1933, or the Securities Act, as modified by the JOBS Act. As such, we are eligible to, and intend to, take advantage of certain exemptions from various reporting requirements applicable to other public companies that are not “emerging growth companies” such as not being required to comply with the auditor attestation requirements of Section 404 of the Sarbanes-Oxley Act of 2002. We could remain an “emerging growth company” for up to five years from our initial public offering in 2013,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ordinary shares that is held by non-affiliates exceeds $700 million as of the last business day of our most recently completed second fiscal quarter, or (c) the date on which we have issued more than $1 billion in nonconvertible debt during the preceding three-year period. Our wholly owned U.S. subsidiary, Alcobra, Inc., has been appointed our agent in the United States and is located at 600 West Germantown Pike, Suite 400, Plymouth Meeting, PA, 19462.</w:t>
      </w:r>
    </w:p>
    <w:p>
      <w:pPr>
        <w:spacing w:after="0" w:line="167" w:lineRule="exact"/>
        <w:rPr>
          <w:sz w:val="20"/>
          <w:szCs w:val="20"/>
          <w:color w:val="auto"/>
        </w:rPr>
      </w:pPr>
    </w:p>
    <w:p>
      <w:pPr>
        <w:ind w:right="500" w:firstLine="383"/>
        <w:spacing w:after="0" w:line="277" w:lineRule="auto"/>
        <w:rPr>
          <w:sz w:val="20"/>
          <w:szCs w:val="20"/>
          <w:color w:val="auto"/>
        </w:rPr>
      </w:pPr>
      <w:r>
        <w:rPr>
          <w:rFonts w:ascii="Arial" w:cs="Arial" w:eastAsia="Arial" w:hAnsi="Arial"/>
          <w:sz w:val="18"/>
          <w:szCs w:val="18"/>
          <w:color w:val="auto"/>
        </w:rPr>
        <w:t>We did not have any significant capital expenditures in 2013, 2014 and 2015. We have financed our capital expenditures with cash generated from proceeds from sales of our equity securities. We do not anticipate any significant capital expenditures in fiscal year 2016.</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4.B.</w:t>
      </w:r>
      <w:r>
        <w:rPr>
          <w:sz w:val="20"/>
          <w:szCs w:val="20"/>
          <w:color w:val="auto"/>
        </w:rPr>
        <w:tab/>
      </w:r>
      <w:r>
        <w:rPr>
          <w:rFonts w:ascii="Arial" w:cs="Arial" w:eastAsia="Arial" w:hAnsi="Arial"/>
          <w:sz w:val="15"/>
          <w:szCs w:val="15"/>
          <w:b w:val="1"/>
          <w:bCs w:val="1"/>
          <w:color w:val="auto"/>
        </w:rPr>
        <w:t>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229" w:lineRule="exact"/>
        <w:rPr>
          <w:sz w:val="20"/>
          <w:szCs w:val="20"/>
          <w:color w:val="auto"/>
        </w:rPr>
      </w:pPr>
    </w:p>
    <w:p>
      <w:pPr>
        <w:ind w:firstLine="383"/>
        <w:spacing w:after="0" w:line="254"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our proprietary oral drug candidate, MDX, to treat ADHD and other cognitive dysfunctions including Fragile X. 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Metadoxine is designed to be a monoamine-independent modulator of gamma-aminobutyric acid transmission. Metadoxine has been available since the 1980s only in immediate release forms for the acute treatment of alcohol intoxication and the chronic treatment of alcoholic liver disease in Italy, Portugal, Hungary, Russia, India, China, Mexico and Thailand.</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MDX for the Treatment of ADHD</w:t>
      </w:r>
    </w:p>
    <w:p>
      <w:pPr>
        <w:spacing w:after="0" w:line="225" w:lineRule="exact"/>
        <w:rPr>
          <w:sz w:val="20"/>
          <w:szCs w:val="20"/>
          <w:color w:val="auto"/>
        </w:rPr>
      </w:pPr>
    </w:p>
    <w:p>
      <w:pPr>
        <w:ind w:firstLine="383"/>
        <w:spacing w:after="0" w:line="279" w:lineRule="auto"/>
        <w:rPr>
          <w:sz w:val="20"/>
          <w:szCs w:val="20"/>
          <w:color w:val="auto"/>
        </w:rPr>
      </w:pPr>
      <w:r>
        <w:rPr>
          <w:rFonts w:ascii="Arial" w:cs="Arial" w:eastAsia="Arial" w:hAnsi="Arial"/>
          <w:sz w:val="17"/>
          <w:szCs w:val="17"/>
          <w:color w:val="auto"/>
        </w:rPr>
        <w:t>ADHD is one of the most common behavioral disorders in the world. It is estimated that between 8% and 10% of children worldwide are affected by this condition. Once believed to only affect children, ADHD is now known to persist into adolescence and adulthood in a large number of cases, with approximately 50% of all children with ADHD continuing to have symptoms of the disorder as adults. Over 90% of adults with ADHD experience impaired attention and executive function symptoms, of which approximately 35% also experience hyperactivity-impulsivity symptoms.</w:t>
      </w:r>
    </w:p>
    <w:p>
      <w:pPr>
        <w:spacing w:after="0" w:line="171" w:lineRule="exact"/>
        <w:rPr>
          <w:sz w:val="20"/>
          <w:szCs w:val="20"/>
          <w:color w:val="auto"/>
        </w:rPr>
      </w:pPr>
    </w:p>
    <w:p>
      <w:pPr>
        <w:ind w:right="40" w:firstLine="383"/>
        <w:spacing w:after="0" w:line="286" w:lineRule="auto"/>
        <w:rPr>
          <w:sz w:val="20"/>
          <w:szCs w:val="20"/>
          <w:color w:val="auto"/>
        </w:rPr>
      </w:pPr>
      <w:r>
        <w:rPr>
          <w:rFonts w:ascii="Arial" w:cs="Arial" w:eastAsia="Arial" w:hAnsi="Arial"/>
          <w:sz w:val="16"/>
          <w:szCs w:val="16"/>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as their use may lead to severe psychological or physical dependence. In addition, stimulants have numerous side effects, such as uncomfortable mental states, interference with sleep and appetite, development of nervous tics and potential cardiovascular effects resulting from increased blood pressure and heart rate. There are limited effective treatments for these side effects for patients taking the drugs. The prevalence of such side effects has also led to dramatically limited medication adherence rates. Up to 30% to 50% of those who are prescribed stimulants for ADHD either do not respond or cannot tolerate these treatments, and only about 20% of those who are prescribed stimulants are still taking them 12 months later. There also is a non-stimulant drug approved for children and adults with ADHD called Strattera (atomoxetine), approved in 2002. This drug also has significant potential side effects, such as fatigue, gastrointestinal upset, sexual problems, palpitations, increased heart rate and high blood pressure and also has regulatory warning labels relating to suicidal thoughts and liver damage. Moreover, Strattera may take six to eight weeks to achieve full clinical effectiveness. More recently, two additional non-stimulant medications were approved for use only in children and adolescents with ADHD, Intuniv (guanfacine) and Kapvay (clonidine). These two drugs have not been approved for use in adults with ADHD and have not had significant commercial success. All approved ADHD drugs need to be carefully monitored by the treating physician to optimize the dose, starting with a low dose and slowly escalating to the most effective and tolerable dose.</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firstLine="383"/>
        <w:spacing w:after="0" w:line="259" w:lineRule="auto"/>
        <w:rPr>
          <w:sz w:val="20"/>
          <w:szCs w:val="20"/>
          <w:color w:val="auto"/>
        </w:rPr>
      </w:pPr>
      <w:r>
        <w:rPr>
          <w:rFonts w:ascii="Arial" w:cs="Arial" w:eastAsia="Arial" w:hAnsi="Arial"/>
          <w:sz w:val="18"/>
          <w:szCs w:val="18"/>
          <w:color w:val="auto"/>
        </w:rPr>
        <w:t>In contrast to the most common available treatments, which involve the use of stimulants, MDX is not a stimulant and employs a different mechanism of action that is neither dopaminergic (related to dopamine) nor noradrenergic (related to norepinephrine). Our clinical trials to date have suggested a pro-cognitive effect and favorable tolerability and safety. We therefore believe MDX potentially represents an effective treatment and a safer alternative to currently marketed treatments.</w:t>
      </w:r>
    </w:p>
    <w:p>
      <w:pPr>
        <w:spacing w:after="0" w:line="187" w:lineRule="exact"/>
        <w:rPr>
          <w:sz w:val="20"/>
          <w:szCs w:val="20"/>
          <w:color w:val="auto"/>
        </w:rPr>
      </w:pPr>
    </w:p>
    <w:p>
      <w:pPr>
        <w:ind w:right="120" w:firstLine="383"/>
        <w:spacing w:after="0" w:line="259" w:lineRule="auto"/>
        <w:rPr>
          <w:sz w:val="20"/>
          <w:szCs w:val="20"/>
          <w:color w:val="auto"/>
        </w:rPr>
      </w:pPr>
      <w:r>
        <w:rPr>
          <w:rFonts w:ascii="Arial" w:cs="Arial" w:eastAsia="Arial" w:hAnsi="Arial"/>
          <w:sz w:val="18"/>
          <w:szCs w:val="18"/>
          <w:color w:val="auto"/>
        </w:rPr>
        <w:t>In September 2011, we completed a 120 subject double-blind placebo-controlled Phase 2 study in adult ADHD subjects in two academic sites in Israel. The study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87" w:lineRule="exact"/>
        <w:rPr>
          <w:sz w:val="20"/>
          <w:szCs w:val="20"/>
          <w:color w:val="auto"/>
        </w:rPr>
      </w:pPr>
    </w:p>
    <w:p>
      <w:pPr>
        <w:jc w:val="both"/>
        <w:ind w:right="20" w:firstLine="383"/>
        <w:spacing w:after="0" w:line="264" w:lineRule="auto"/>
        <w:rPr>
          <w:sz w:val="20"/>
          <w:szCs w:val="20"/>
          <w:color w:val="auto"/>
        </w:rPr>
      </w:pPr>
      <w:r>
        <w:rPr>
          <w:rFonts w:ascii="Arial" w:cs="Arial" w:eastAsia="Arial" w:hAnsi="Arial"/>
          <w:sz w:val="18"/>
          <w:szCs w:val="18"/>
          <w:color w:val="auto"/>
        </w:rPr>
        <w:t>In December 2013, we completed an additional 36 subject double-blind placebo-controlled Phase 2 study in adult ADHD subjects, which confirmed our previous findings, highlighted the rapid onset of MDX, and demonstrated efficacy over placebo from the first day of dosing, using a computerized assessment tool.</w:t>
      </w:r>
    </w:p>
    <w:p>
      <w:pPr>
        <w:spacing w:after="0" w:line="181" w:lineRule="exact"/>
        <w:rPr>
          <w:sz w:val="20"/>
          <w:szCs w:val="20"/>
          <w:color w:val="auto"/>
        </w:rPr>
      </w:pPr>
    </w:p>
    <w:p>
      <w:pPr>
        <w:ind w:right="140" w:firstLine="383"/>
        <w:spacing w:after="0" w:line="259" w:lineRule="auto"/>
        <w:rPr>
          <w:sz w:val="20"/>
          <w:szCs w:val="20"/>
          <w:color w:val="auto"/>
        </w:rPr>
      </w:pPr>
      <w:r>
        <w:rPr>
          <w:rFonts w:ascii="Arial" w:cs="Arial" w:eastAsia="Arial" w:hAnsi="Arial"/>
          <w:sz w:val="18"/>
          <w:szCs w:val="18"/>
          <w:color w:val="auto"/>
        </w:rPr>
        <w:t>In October 2014, we announced the results of a 300 subject double-blind placebo-controlled Phase 3 study in adult ADHD in 20 sites (18 in the United States and two in Israel). The study’s primary efficacy endpoint did not reach statistical significance. A non-significant favorable trend was observed on the primary endpoint. Other secondary measures showed strong or statistically significant trends. Similar to previous studies, MDX showed a favorable safety profile.</w:t>
      </w:r>
    </w:p>
    <w:p>
      <w:pPr>
        <w:spacing w:after="0" w:line="187" w:lineRule="exact"/>
        <w:rPr>
          <w:sz w:val="20"/>
          <w:szCs w:val="20"/>
          <w:color w:val="auto"/>
        </w:rPr>
      </w:pPr>
    </w:p>
    <w:p>
      <w:pPr>
        <w:ind w:firstLine="383"/>
        <w:spacing w:after="0" w:line="277" w:lineRule="auto"/>
        <w:rPr>
          <w:sz w:val="20"/>
          <w:szCs w:val="20"/>
          <w:color w:val="auto"/>
        </w:rPr>
      </w:pPr>
      <w:r>
        <w:rPr>
          <w:rFonts w:ascii="Arial" w:cs="Arial" w:eastAsia="Arial" w:hAnsi="Arial"/>
          <w:sz w:val="18"/>
          <w:szCs w:val="18"/>
          <w:color w:val="auto"/>
        </w:rPr>
        <w:t>In March 2015, we reported that our Phase 2 safety and tolerability study of a single administration of MDX in adolescent patients with ADHD achieved its primary endpoint. In the study, MDX showed good tolerability and no safety concerns were identified.</w:t>
      </w:r>
    </w:p>
    <w:p>
      <w:pPr>
        <w:spacing w:after="0" w:line="170" w:lineRule="exact"/>
        <w:rPr>
          <w:sz w:val="20"/>
          <w:szCs w:val="20"/>
          <w:color w:val="auto"/>
        </w:rPr>
      </w:pPr>
    </w:p>
    <w:p>
      <w:pPr>
        <w:ind w:right="100" w:firstLine="383"/>
        <w:spacing w:after="0" w:line="255" w:lineRule="auto"/>
        <w:rPr>
          <w:sz w:val="20"/>
          <w:szCs w:val="20"/>
          <w:color w:val="auto"/>
        </w:rPr>
      </w:pPr>
      <w:r>
        <w:rPr>
          <w:rFonts w:ascii="Arial" w:cs="Arial" w:eastAsia="Arial" w:hAnsi="Arial"/>
          <w:sz w:val="18"/>
          <w:szCs w:val="18"/>
          <w:color w:val="auto"/>
        </w:rPr>
        <w:t>In the first quarter of 2015, we met with the FDA to discuss the results of our first Phase 3 study in adults with ADHD, the proposed protocol for our second Phase 3 study in adults, the requirements for clinical development of MDX for pediatric ADHD, as well as the requirements for an NDA submission. The FDA confirmed that a single additional study showing efficacy in adult ADHD may provide a sufficient basis of efficacy for approval of MDX in this sub-population. The FDA also confirmed that a single Phase 2 study, followed by a single Phase 3 study, in a pediatric ADHD population can provide a sufficient basis of efficacy for approval of MDX in this population. We currently plan to file a joint NDA for the adult and pediatric sub-populations. We expect to launch the first of two adequate, well-controlled, short-term efficacy studies in children with ADHD in 2016. The study will be a multi-center, placebo-controlled, short-term efficacy study.</w:t>
      </w:r>
    </w:p>
    <w:p>
      <w:pPr>
        <w:spacing w:after="0" w:line="189" w:lineRule="exact"/>
        <w:rPr>
          <w:sz w:val="20"/>
          <w:szCs w:val="20"/>
          <w:color w:val="auto"/>
        </w:rPr>
      </w:pPr>
    </w:p>
    <w:p>
      <w:pPr>
        <w:ind w:firstLine="383"/>
        <w:spacing w:after="0" w:line="264" w:lineRule="auto"/>
        <w:rPr>
          <w:sz w:val="20"/>
          <w:szCs w:val="20"/>
          <w:color w:val="auto"/>
        </w:rPr>
      </w:pPr>
      <w:r>
        <w:rPr>
          <w:rFonts w:ascii="Arial" w:cs="Arial" w:eastAsia="Arial" w:hAnsi="Arial"/>
          <w:sz w:val="18"/>
          <w:szCs w:val="18"/>
          <w:color w:val="auto"/>
        </w:rPr>
        <w:t>In the second quarter of 2015, we launched the MEASURE study (MDX Evaluation in Adults — StUdy of Response and Efficacy). The MEASURE study is our second Phase 3 study of MDX in adults with ADHD. The study includes design and operational elements to potentially mitigate placebo response and reduce treatment response variability, and we expect to report data by year end 2016.</w:t>
      </w:r>
    </w:p>
    <w:p>
      <w:pPr>
        <w:spacing w:after="0" w:line="181" w:lineRule="exact"/>
        <w:rPr>
          <w:sz w:val="20"/>
          <w:szCs w:val="20"/>
          <w:color w:val="auto"/>
        </w:rPr>
      </w:pPr>
    </w:p>
    <w:p>
      <w:pPr>
        <w:jc w:val="both"/>
        <w:ind w:right="220" w:firstLine="383"/>
        <w:spacing w:after="0" w:line="342" w:lineRule="auto"/>
        <w:rPr>
          <w:sz w:val="20"/>
          <w:szCs w:val="20"/>
          <w:color w:val="auto"/>
        </w:rPr>
      </w:pPr>
      <w:r>
        <w:rPr>
          <w:rFonts w:ascii="Arial" w:cs="Arial" w:eastAsia="Arial" w:hAnsi="Arial"/>
          <w:sz w:val="16"/>
          <w:szCs w:val="16"/>
          <w:color w:val="auto"/>
        </w:rPr>
        <w:t>If the data from these and future pre-clinical and clinical trials demonstrate the safety and efficacy of MDX in the pediatric and adult sub-populations, we will seek to obtain marketing approval from the FDA for MDX for use in ADHD. We have similar plans to seek marketing approval in other territories.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MDX for the Treatment of Fragile X</w:t>
      </w:r>
    </w:p>
    <w:p>
      <w:pPr>
        <w:spacing w:after="0" w:line="225" w:lineRule="exact"/>
        <w:rPr>
          <w:sz w:val="20"/>
          <w:szCs w:val="20"/>
          <w:color w:val="auto"/>
        </w:rPr>
      </w:pPr>
    </w:p>
    <w:p>
      <w:pPr>
        <w:ind w:right="40" w:firstLine="383"/>
        <w:spacing w:after="0" w:line="257" w:lineRule="auto"/>
        <w:rPr>
          <w:sz w:val="20"/>
          <w:szCs w:val="20"/>
          <w:color w:val="auto"/>
        </w:rPr>
      </w:pPr>
      <w:r>
        <w:rPr>
          <w:rFonts w:ascii="Arial" w:cs="Arial" w:eastAsia="Arial" w:hAnsi="Arial"/>
          <w:sz w:val="18"/>
          <w:szCs w:val="18"/>
          <w:color w:val="auto"/>
        </w:rPr>
        <w:t>We are also studying MDX for the treatment of Fragile X, a rare neurogenetic disorder related to autism marked by severe intellectual disability. In June 2015, we reported that our Phase 2 exploratory clinical study of MDX in adolescent and adult patients with Fragile X did not achieve statistical significance on the primary endpoint, yet demonstrated statistically significant improvements in certain clinically meaningful behavioral and cognitive endpoints, including the Vineland II Daily Living Skills Assessment. The FDA has granted fast track designation and Orphan Drug status to MDX for the treatment of Fragile X.</w:t>
      </w:r>
    </w:p>
    <w:p>
      <w:pPr>
        <w:spacing w:after="0" w:line="188" w:lineRule="exact"/>
        <w:rPr>
          <w:sz w:val="20"/>
          <w:szCs w:val="20"/>
          <w:color w:val="auto"/>
        </w:rPr>
      </w:pPr>
    </w:p>
    <w:p>
      <w:pPr>
        <w:ind w:right="120" w:firstLine="383"/>
        <w:spacing w:after="0" w:line="288" w:lineRule="auto"/>
        <w:rPr>
          <w:sz w:val="20"/>
          <w:szCs w:val="20"/>
          <w:color w:val="auto"/>
        </w:rPr>
      </w:pPr>
      <w:r>
        <w:rPr>
          <w:rFonts w:ascii="Arial" w:cs="Arial" w:eastAsia="Arial" w:hAnsi="Arial"/>
          <w:sz w:val="16"/>
          <w:szCs w:val="16"/>
          <w:color w:val="auto"/>
        </w:rPr>
        <w:t>In October 2015, we met with the FDA to discuss the results of our Phase 2 study in Fragile X and the requirements for NDA submission of MDX in this therapeutic indication. The FDA concurred that results from a single short-term, adequate and well-controlled efficacy study in adolescents and adult patients with Fragile X may be sufficient to support a claim of efficacy for approval of MDX in this indication (in line with the FDA's Guidance for Industry</w:t>
      </w:r>
    </w:p>
    <w:p>
      <w:pPr>
        <w:ind w:right="100"/>
        <w:spacing w:after="0" w:line="255" w:lineRule="auto"/>
        <w:rPr>
          <w:sz w:val="20"/>
          <w:szCs w:val="20"/>
          <w:color w:val="auto"/>
        </w:rPr>
      </w:pPr>
      <w:r>
        <w:rPr>
          <w:rFonts w:ascii="Arial" w:cs="Arial" w:eastAsia="Arial" w:hAnsi="Arial"/>
          <w:sz w:val="18"/>
          <w:szCs w:val="18"/>
          <w:color w:val="auto"/>
        </w:rPr>
        <w:t>— Providing Evidence of Effectiveness for Human Drug and Biological Products, May 1998). We plan to submit a separate application for pediatric patients (ages 4-11) following FDA approval via a supplemental NDA. The FDA confirmed that the Vineland II Daily Living Skills Assessment could serve as the primary endpoint in the adolescents and adults Fragile X pivotal study.</w:t>
      </w:r>
    </w:p>
    <w:p>
      <w:pPr>
        <w:spacing w:after="0" w:line="190" w:lineRule="exact"/>
        <w:rPr>
          <w:sz w:val="20"/>
          <w:szCs w:val="20"/>
          <w:color w:val="auto"/>
        </w:rPr>
      </w:pPr>
    </w:p>
    <w:p>
      <w:pPr>
        <w:ind w:right="280" w:firstLine="383"/>
        <w:spacing w:after="0" w:line="308" w:lineRule="auto"/>
        <w:rPr>
          <w:sz w:val="20"/>
          <w:szCs w:val="20"/>
          <w:color w:val="auto"/>
        </w:rPr>
      </w:pPr>
      <w:r>
        <w:rPr>
          <w:rFonts w:ascii="Arial" w:cs="Arial" w:eastAsia="Arial" w:hAnsi="Arial"/>
          <w:sz w:val="17"/>
          <w:szCs w:val="17"/>
          <w:color w:val="auto"/>
        </w:rPr>
        <w:t>To date, we have not generated revenue from the sale of any product, and we do not expect to generate significant revenue unless and until we obtain marketing approval of, and commercialize, MDX. As of December 31, 2015, we had an accumulated deficit of $71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Plan</w:t>
      </w:r>
    </w:p>
    <w:p>
      <w:pPr>
        <w:spacing w:after="0" w:line="229" w:lineRule="exact"/>
        <w:rPr>
          <w:sz w:val="20"/>
          <w:szCs w:val="20"/>
          <w:color w:val="auto"/>
        </w:rPr>
      </w:pPr>
    </w:p>
    <w:p>
      <w:pPr>
        <w:ind w:right="200" w:firstLine="383"/>
        <w:spacing w:after="0" w:line="302" w:lineRule="auto"/>
        <w:rPr>
          <w:sz w:val="20"/>
          <w:szCs w:val="20"/>
          <w:color w:val="auto"/>
        </w:rPr>
      </w:pPr>
      <w:r>
        <w:rPr>
          <w:rFonts w:ascii="Arial" w:cs="Arial" w:eastAsia="Arial" w:hAnsi="Arial"/>
          <w:sz w:val="16"/>
          <w:szCs w:val="16"/>
          <w:color w:val="auto"/>
        </w:rPr>
        <w:t>Our objective is to develop and commercialize proprietary pharmaceutical products for treatment of central nervous system disorders, and cognitive dysfunctions in particular. To this effect, we intend to seek approval to conduct additional clinical trials for our most advanced product (MDX) and, if those trials are successful, seek marketing approvals from the FDA and other worldwide regulatory bodies for MDX for the treatment of ADHD in adults and children. We also plan to advance clinical studies and commercialization plans for MDX in Fragile X. To achieve these objectives, we plan to:</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 w:name="page31"/>
    <w:bookmarkEnd w:id="30"/>
    <w:p>
      <w:pPr>
        <w:ind w:left="840" w:right="200" w:hanging="184"/>
        <w:spacing w:after="0" w:line="277"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the necessary regulatory approvals to complete the clinical development of MDX for the treatment of ADHD in adults and children, and, if successful, file for marketing approval in the United States and other territories;</w:t>
      </w:r>
    </w:p>
    <w:p>
      <w:pPr>
        <w:spacing w:after="0" w:line="170" w:lineRule="exact"/>
        <w:rPr>
          <w:rFonts w:ascii="Arial" w:cs="Arial" w:eastAsia="Arial" w:hAnsi="Arial"/>
          <w:sz w:val="18"/>
          <w:szCs w:val="18"/>
          <w:color w:val="auto"/>
        </w:rPr>
      </w:pPr>
    </w:p>
    <w:p>
      <w:pPr>
        <w:ind w:left="840" w:right="40" w:hanging="184"/>
        <w:spacing w:after="0" w:line="277"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the necessary regulatory approvals to complete the clinical development of MDX for the treatment of Fragile X in adults and children, and, if successful, file for marketing approval in the United States and other territories; and</w:t>
      </w:r>
    </w:p>
    <w:p>
      <w:pPr>
        <w:spacing w:after="0" w:line="170" w:lineRule="exact"/>
        <w:rPr>
          <w:rFonts w:ascii="Arial" w:cs="Arial" w:eastAsia="Arial" w:hAnsi="Arial"/>
          <w:sz w:val="18"/>
          <w:szCs w:val="18"/>
          <w:color w:val="auto"/>
        </w:rPr>
      </w:pPr>
    </w:p>
    <w:p>
      <w:pPr>
        <w:ind w:left="840" w:right="100" w:hanging="184"/>
        <w:spacing w:after="0" w:line="277"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prepare to commercialize MDX for the treatment of patients with ADHD and Fragile X by establishing independent distribution capabilities or in conjunction with other pharmaceutical companies in the United States and other key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ADHD</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The ADHD Market</w:t>
      </w:r>
    </w:p>
    <w:p>
      <w:pPr>
        <w:spacing w:after="0" w:line="229" w:lineRule="exact"/>
        <w:rPr>
          <w:sz w:val="20"/>
          <w:szCs w:val="20"/>
          <w:color w:val="auto"/>
        </w:rPr>
      </w:pPr>
    </w:p>
    <w:p>
      <w:pPr>
        <w:ind w:right="20" w:firstLine="383"/>
        <w:spacing w:after="0" w:line="269" w:lineRule="auto"/>
        <w:rPr>
          <w:sz w:val="20"/>
          <w:szCs w:val="20"/>
          <w:color w:val="auto"/>
        </w:rPr>
      </w:pPr>
      <w:r>
        <w:rPr>
          <w:rFonts w:ascii="Arial" w:cs="Arial" w:eastAsia="Arial" w:hAnsi="Arial"/>
          <w:sz w:val="17"/>
          <w:szCs w:val="17"/>
          <w:color w:val="auto"/>
        </w:rPr>
        <w:t>The United States market size for ADHD treatment is estimated to be approximately $9 billion annually, which accounted for approximately 90% of the global ADHD market. The difference in market sizes between the U.S. and other countries is driven by different rates of diagnosis and treatment, different pricing, and the number of available brand name medications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rate of treatment with prescription medications is approximately 70% in children and 45% in adults. In 2015, close to 67 million prescriptions were filled in the United States for approved ADHD medications versus less than 44 million in 2009. The U.S. market is projected to continue to grow in mid-single digits, driven by an increased prescription rate for adult ADHD, which has grown at approximately 10% annually over the last few years. The international ADHD market is projected to grow at a faster rate than the U.S. market in part because higher disease recognition and acceptance is expected in Japan and Europe. The estimated growth for the non-U.S. markets is also higher due to the recent launches for major ADHD drugs that have already been marketed in the United States, such as Vyvanse and Intuniv. Despite upcoming patent expiration dates and the entry of several generic compounds, the market size is expected to grow further as new drugs enter the market and compensate for the generic erosion.</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Development of ADHD Symptoms</w:t>
      </w:r>
    </w:p>
    <w:p>
      <w:pPr>
        <w:spacing w:after="0" w:line="229" w:lineRule="exact"/>
        <w:rPr>
          <w:sz w:val="20"/>
          <w:szCs w:val="20"/>
          <w:color w:val="auto"/>
        </w:rPr>
      </w:pPr>
    </w:p>
    <w:p>
      <w:pPr>
        <w:ind w:right="280" w:firstLine="428"/>
        <w:spacing w:after="0" w:line="277" w:lineRule="auto"/>
        <w:rPr>
          <w:sz w:val="20"/>
          <w:szCs w:val="20"/>
          <w:color w:val="auto"/>
        </w:rPr>
      </w:pPr>
      <w:r>
        <w:rPr>
          <w:rFonts w:ascii="Arial" w:cs="Arial" w:eastAsia="Arial" w:hAnsi="Arial"/>
          <w:sz w:val="18"/>
          <w:szCs w:val="18"/>
          <w:color w:val="auto"/>
        </w:rPr>
        <w:t>Once perceived to only affect children, ADHD is now known to persist into adolescence and adulthood in a sizeable number of cases. The following table illustrates how the nature of ADHD symptoms changes with age: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Children</w:t>
            </w:r>
          </w:p>
        </w:tc>
        <w:tc>
          <w:tcPr>
            <w:tcW w:w="3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Adolescents</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2"/>
              </w:rPr>
              <w:t>Adults</w:t>
            </w:r>
          </w:p>
        </w:tc>
      </w:tr>
      <w:tr>
        <w:trPr>
          <w:trHeight w:val="191"/>
        </w:trPr>
        <w:tc>
          <w:tcPr>
            <w:tcW w:w="4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Hyperactive</w:t>
            </w:r>
          </w:p>
        </w:tc>
        <w:tc>
          <w:tcPr>
            <w:tcW w:w="12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Easily distracted</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Shifts activities</w:t>
            </w:r>
          </w:p>
        </w:tc>
      </w:tr>
      <w:tr>
        <w:trPr>
          <w:trHeight w:val="216"/>
        </w:trPr>
        <w:tc>
          <w:tcPr>
            <w:tcW w:w="4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Aggressive</w:t>
            </w:r>
          </w:p>
        </w:tc>
        <w:tc>
          <w:tcPr>
            <w:tcW w:w="3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Inattentive</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Easily bored</w:t>
            </w:r>
          </w:p>
        </w:tc>
      </w:tr>
      <w:tr>
        <w:trPr>
          <w:trHeight w:val="216"/>
        </w:trPr>
        <w:tc>
          <w:tcPr>
            <w:tcW w:w="4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Low frustration tolerance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4"/>
              </w:rPr>
              <w:t>Impatient</w:t>
            </w:r>
          </w:p>
        </w:tc>
      </w:tr>
      <w:tr>
        <w:trPr>
          <w:trHeight w:val="234"/>
        </w:trPr>
        <w:tc>
          <w:tcPr>
            <w:tcW w:w="4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Impulsive</w:t>
            </w: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0"/>
              </w:rPr>
              <w:t>Restless</w:t>
            </w:r>
          </w:p>
        </w:tc>
      </w:tr>
    </w:tbl>
    <w:p>
      <w:pPr>
        <w:spacing w:after="0" w:line="202" w:lineRule="exact"/>
        <w:rPr>
          <w:sz w:val="20"/>
          <w:szCs w:val="20"/>
          <w:color w:val="auto"/>
        </w:rPr>
      </w:pPr>
    </w:p>
    <w:p>
      <w:pPr>
        <w:ind w:right="200" w:firstLine="383"/>
        <w:spacing w:after="0" w:line="259" w:lineRule="auto"/>
        <w:rPr>
          <w:sz w:val="20"/>
          <w:szCs w:val="20"/>
          <w:color w:val="auto"/>
        </w:rPr>
      </w:pPr>
      <w:r>
        <w:rPr>
          <w:rFonts w:ascii="Arial" w:cs="Arial" w:eastAsia="Arial" w:hAnsi="Arial"/>
          <w:sz w:val="18"/>
          <w:szCs w:val="18"/>
          <w:color w:val="auto"/>
        </w:rPr>
        <w:t>Approximately 50% of adults who suffered from ADHD as children continue to have symptoms of the disorder as adults, with over 90% experiencing attention deficit symptoms and about 35% of them experiencing hyperactivity-impulsivity symptoms. As the majority of sufferers of ADHD age, their symptoms tend toward impatience, restlessness, boredom and low concentration levels from the more aggressive hyperactivity and impulsive behavior evident in children.</w:t>
      </w:r>
    </w:p>
    <w:p>
      <w:pPr>
        <w:spacing w:after="0" w:line="187" w:lineRule="exact"/>
        <w:rPr>
          <w:sz w:val="20"/>
          <w:szCs w:val="20"/>
          <w:color w:val="auto"/>
        </w:rPr>
      </w:pPr>
    </w:p>
    <w:p>
      <w:pPr>
        <w:jc w:val="both"/>
        <w:ind w:right="460" w:firstLine="383"/>
        <w:spacing w:after="0" w:line="264" w:lineRule="auto"/>
        <w:rPr>
          <w:sz w:val="20"/>
          <w:szCs w:val="20"/>
          <w:color w:val="auto"/>
        </w:rPr>
      </w:pPr>
      <w:r>
        <w:rPr>
          <w:rFonts w:ascii="Arial" w:cs="Arial" w:eastAsia="Arial" w:hAnsi="Arial"/>
          <w:sz w:val="18"/>
          <w:szCs w:val="18"/>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Impact of Untreated and Undertreated ADHD</w:t>
      </w:r>
    </w:p>
    <w:p>
      <w:pPr>
        <w:spacing w:after="0" w:line="229" w:lineRule="exact"/>
        <w:rPr>
          <w:sz w:val="20"/>
          <w:szCs w:val="20"/>
          <w:color w:val="auto"/>
        </w:rPr>
      </w:pPr>
    </w:p>
    <w:p>
      <w:pPr>
        <w:jc w:val="both"/>
        <w:ind w:right="40" w:firstLine="383"/>
        <w:spacing w:after="0" w:line="264" w:lineRule="auto"/>
        <w:rPr>
          <w:sz w:val="20"/>
          <w:szCs w:val="20"/>
          <w:color w:val="auto"/>
        </w:rPr>
      </w:pPr>
      <w:r>
        <w:rPr>
          <w:rFonts w:ascii="Arial" w:cs="Arial" w:eastAsia="Arial" w:hAnsi="Arial"/>
          <w:sz w:val="18"/>
          <w:szCs w:val="18"/>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illustrates the effects on society when ADHD remains untreated:</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316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Healthcare System</w:t>
            </w:r>
          </w:p>
        </w:tc>
        <w:tc>
          <w:tcPr>
            <w:tcW w:w="352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Patient</w:t>
            </w:r>
          </w:p>
        </w:tc>
        <w:tc>
          <w:tcPr>
            <w:tcW w:w="3120" w:type="dxa"/>
            <w:vAlign w:val="bottom"/>
          </w:tcPr>
          <w:p>
            <w:pPr>
              <w:jc w:val="center"/>
              <w:ind w:left="890"/>
              <w:spacing w:after="0"/>
              <w:rPr>
                <w:sz w:val="20"/>
                <w:szCs w:val="20"/>
                <w:color w:val="auto"/>
              </w:rPr>
            </w:pPr>
            <w:r>
              <w:rPr>
                <w:rFonts w:ascii="Arial" w:cs="Arial" w:eastAsia="Arial" w:hAnsi="Arial"/>
                <w:sz w:val="18"/>
                <w:szCs w:val="18"/>
                <w:b w:val="1"/>
                <w:bCs w:val="1"/>
                <w:color w:val="auto"/>
                <w:w w:val="94"/>
              </w:rPr>
              <w:t>Family</w:t>
            </w:r>
          </w:p>
        </w:tc>
      </w:tr>
      <w:tr>
        <w:trPr>
          <w:trHeight w:val="216"/>
        </w:trPr>
        <w:tc>
          <w:tcPr>
            <w:tcW w:w="3160" w:type="dxa"/>
            <w:vAlign w:val="bottom"/>
          </w:tcPr>
          <w:p>
            <w:pPr>
              <w:jc w:val="center"/>
              <w:ind w:right="1130"/>
              <w:spacing w:after="0"/>
              <w:rPr>
                <w:sz w:val="20"/>
                <w:szCs w:val="20"/>
                <w:color w:val="auto"/>
              </w:rPr>
            </w:pPr>
            <w:r>
              <w:rPr>
                <w:rFonts w:ascii="Arial" w:cs="Arial" w:eastAsia="Arial" w:hAnsi="Arial"/>
                <w:sz w:val="18"/>
                <w:szCs w:val="18"/>
                <w:color w:val="auto"/>
                <w:w w:val="91"/>
              </w:rPr>
              <w:t>ñ 50% in bicycle accidents</w:t>
            </w:r>
          </w:p>
        </w:tc>
        <w:tc>
          <w:tcPr>
            <w:tcW w:w="3520" w:type="dxa"/>
            <w:vAlign w:val="bottom"/>
          </w:tcPr>
          <w:p>
            <w:pPr>
              <w:jc w:val="center"/>
              <w:ind w:left="110"/>
              <w:spacing w:after="0"/>
              <w:rPr>
                <w:sz w:val="20"/>
                <w:szCs w:val="20"/>
                <w:color w:val="auto"/>
              </w:rPr>
            </w:pPr>
            <w:r>
              <w:rPr>
                <w:rFonts w:ascii="Arial" w:cs="Arial" w:eastAsia="Arial" w:hAnsi="Arial"/>
                <w:sz w:val="18"/>
                <w:szCs w:val="18"/>
                <w:color w:val="auto"/>
                <w:w w:val="96"/>
              </w:rPr>
              <w:t>ñ criminal activity</w:t>
            </w:r>
          </w:p>
        </w:tc>
        <w:tc>
          <w:tcPr>
            <w:tcW w:w="3120" w:type="dxa"/>
            <w:vAlign w:val="bottom"/>
          </w:tcPr>
          <w:p>
            <w:pPr>
              <w:jc w:val="center"/>
              <w:ind w:left="910"/>
              <w:spacing w:after="0"/>
              <w:rPr>
                <w:sz w:val="20"/>
                <w:szCs w:val="20"/>
                <w:color w:val="auto"/>
              </w:rPr>
            </w:pPr>
            <w:r>
              <w:rPr>
                <w:rFonts w:ascii="Arial" w:cs="Arial" w:eastAsia="Arial" w:hAnsi="Arial"/>
                <w:sz w:val="18"/>
                <w:szCs w:val="18"/>
                <w:color w:val="auto"/>
                <w:w w:val="90"/>
              </w:rPr>
              <w:t>3-5x more divorce/separation</w:t>
            </w:r>
          </w:p>
        </w:tc>
      </w:tr>
      <w:tr>
        <w:trPr>
          <w:trHeight w:val="216"/>
        </w:trPr>
        <w:tc>
          <w:tcPr>
            <w:tcW w:w="3160" w:type="dxa"/>
            <w:vAlign w:val="bottom"/>
          </w:tcPr>
          <w:p>
            <w:pPr>
              <w:jc w:val="center"/>
              <w:ind w:right="1130"/>
              <w:spacing w:after="0"/>
              <w:rPr>
                <w:sz w:val="20"/>
                <w:szCs w:val="20"/>
                <w:color w:val="auto"/>
              </w:rPr>
            </w:pPr>
            <w:r>
              <w:rPr>
                <w:rFonts w:ascii="Arial" w:cs="Arial" w:eastAsia="Arial" w:hAnsi="Arial"/>
                <w:sz w:val="18"/>
                <w:szCs w:val="18"/>
                <w:color w:val="auto"/>
                <w:w w:val="92"/>
              </w:rPr>
              <w:t>ñ 33% in ER visits</w:t>
            </w:r>
          </w:p>
        </w:tc>
        <w:tc>
          <w:tcPr>
            <w:tcW w:w="3520" w:type="dxa"/>
            <w:vAlign w:val="bottom"/>
          </w:tcPr>
          <w:p>
            <w:pPr>
              <w:jc w:val="center"/>
              <w:ind w:left="110"/>
              <w:spacing w:after="0"/>
              <w:rPr>
                <w:sz w:val="20"/>
                <w:szCs w:val="20"/>
                <w:color w:val="auto"/>
              </w:rPr>
            </w:pPr>
            <w:r>
              <w:rPr>
                <w:rFonts w:ascii="Arial" w:cs="Arial" w:eastAsia="Arial" w:hAnsi="Arial"/>
                <w:sz w:val="18"/>
                <w:szCs w:val="18"/>
                <w:color w:val="auto"/>
                <w:w w:val="91"/>
              </w:rPr>
              <w:t>ñ incarceration</w:t>
            </w:r>
          </w:p>
        </w:tc>
        <w:tc>
          <w:tcPr>
            <w:tcW w:w="3120" w:type="dxa"/>
            <w:vAlign w:val="bottom"/>
          </w:tcPr>
          <w:p>
            <w:pPr>
              <w:jc w:val="center"/>
              <w:ind w:left="890"/>
              <w:spacing w:after="0"/>
              <w:rPr>
                <w:sz w:val="20"/>
                <w:szCs w:val="20"/>
                <w:color w:val="auto"/>
              </w:rPr>
            </w:pPr>
            <w:r>
              <w:rPr>
                <w:rFonts w:ascii="Arial" w:cs="Arial" w:eastAsia="Arial" w:hAnsi="Arial"/>
                <w:sz w:val="18"/>
                <w:szCs w:val="18"/>
                <w:color w:val="auto"/>
                <w:w w:val="93"/>
              </w:rPr>
              <w:t>2-4x more sibling fights</w:t>
            </w:r>
          </w:p>
        </w:tc>
      </w:tr>
      <w:tr>
        <w:trPr>
          <w:trHeight w:val="230"/>
        </w:trPr>
        <w:tc>
          <w:tcPr>
            <w:tcW w:w="3160" w:type="dxa"/>
            <w:vAlign w:val="bottom"/>
          </w:tcPr>
          <w:p>
            <w:pPr>
              <w:jc w:val="center"/>
              <w:ind w:right="1110"/>
              <w:spacing w:after="0"/>
              <w:rPr>
                <w:sz w:val="20"/>
                <w:szCs w:val="20"/>
                <w:color w:val="auto"/>
              </w:rPr>
            </w:pPr>
            <w:r>
              <w:rPr>
                <w:rFonts w:ascii="Arial" w:cs="Arial" w:eastAsia="Arial" w:hAnsi="Arial"/>
                <w:sz w:val="18"/>
                <w:szCs w:val="18"/>
                <w:color w:val="auto"/>
                <w:w w:val="89"/>
              </w:rPr>
              <w:t>2-4x more car accidents</w:t>
            </w:r>
          </w:p>
        </w:tc>
        <w:tc>
          <w:tcPr>
            <w:tcW w:w="3520" w:type="dxa"/>
            <w:vAlign w:val="bottom"/>
          </w:tcPr>
          <w:p>
            <w:pPr>
              <w:spacing w:after="0"/>
              <w:rPr>
                <w:sz w:val="20"/>
                <w:szCs w:val="20"/>
                <w:color w:val="auto"/>
              </w:rPr>
            </w:pPr>
          </w:p>
        </w:tc>
        <w:tc>
          <w:tcPr>
            <w:tcW w:w="3120" w:type="dxa"/>
            <w:vAlign w:val="bottom"/>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tbl>
      <w:tblPr>
        <w:tblLayout w:type="fixed"/>
        <w:tblInd w:w="400" w:type="dxa"/>
        <w:tblCellMar>
          <w:top w:w="0" w:type="dxa"/>
          <w:left w:w="0" w:type="dxa"/>
          <w:bottom w:w="0" w:type="dxa"/>
          <w:right w:w="0" w:type="dxa"/>
        </w:tblCellMar>
      </w:tblPr>
      <w:tr>
        <w:trPr>
          <w:trHeight w:val="220"/>
        </w:trPr>
        <w:tc>
          <w:tcPr>
            <w:tcW w:w="352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School and Occupation</w:t>
            </w:r>
          </w:p>
        </w:tc>
        <w:tc>
          <w:tcPr>
            <w:tcW w:w="3780" w:type="dxa"/>
            <w:vAlign w:val="bottom"/>
          </w:tcPr>
          <w:p>
            <w:pPr>
              <w:jc w:val="center"/>
              <w:ind w:left="310"/>
              <w:spacing w:after="0"/>
              <w:rPr>
                <w:sz w:val="20"/>
                <w:szCs w:val="20"/>
                <w:color w:val="auto"/>
              </w:rPr>
            </w:pPr>
            <w:r>
              <w:rPr>
                <w:rFonts w:ascii="Arial" w:cs="Arial" w:eastAsia="Arial" w:hAnsi="Arial"/>
                <w:sz w:val="18"/>
                <w:szCs w:val="18"/>
                <w:b w:val="1"/>
                <w:bCs w:val="1"/>
                <w:color w:val="auto"/>
                <w:w w:val="84"/>
              </w:rPr>
              <w:t>Society</w:t>
            </w:r>
          </w:p>
        </w:tc>
        <w:tc>
          <w:tcPr>
            <w:tcW w:w="3560" w:type="dxa"/>
            <w:vAlign w:val="bottom"/>
          </w:tcPr>
          <w:p>
            <w:pPr>
              <w:jc w:val="center"/>
              <w:ind w:left="470"/>
              <w:spacing w:after="0"/>
              <w:rPr>
                <w:sz w:val="20"/>
                <w:szCs w:val="20"/>
                <w:color w:val="auto"/>
              </w:rPr>
            </w:pPr>
            <w:r>
              <w:rPr>
                <w:rFonts w:ascii="Arial" w:cs="Arial" w:eastAsia="Arial" w:hAnsi="Arial"/>
                <w:sz w:val="18"/>
                <w:szCs w:val="18"/>
                <w:b w:val="1"/>
                <w:bCs w:val="1"/>
                <w:color w:val="auto"/>
                <w:w w:val="92"/>
              </w:rPr>
              <w:t>Employer</w:t>
            </w:r>
          </w:p>
        </w:tc>
      </w:tr>
      <w:tr>
        <w:trPr>
          <w:trHeight w:val="216"/>
        </w:trPr>
        <w:tc>
          <w:tcPr>
            <w:tcW w:w="3520" w:type="dxa"/>
            <w:vAlign w:val="bottom"/>
          </w:tcPr>
          <w:p>
            <w:pPr>
              <w:jc w:val="center"/>
              <w:ind w:right="230"/>
              <w:spacing w:after="0"/>
              <w:rPr>
                <w:sz w:val="20"/>
                <w:szCs w:val="20"/>
                <w:color w:val="auto"/>
              </w:rPr>
            </w:pPr>
            <w:r>
              <w:rPr>
                <w:rFonts w:ascii="Arial" w:cs="Arial" w:eastAsia="Arial" w:hAnsi="Arial"/>
                <w:sz w:val="18"/>
                <w:szCs w:val="18"/>
                <w:color w:val="auto"/>
                <w:w w:val="92"/>
              </w:rPr>
              <w:t>46% expelled</w:t>
            </w:r>
          </w:p>
        </w:tc>
        <w:tc>
          <w:tcPr>
            <w:tcW w:w="3780" w:type="dxa"/>
            <w:vAlign w:val="bottom"/>
          </w:tcPr>
          <w:p>
            <w:pPr>
              <w:jc w:val="center"/>
              <w:ind w:left="310"/>
              <w:spacing w:after="0"/>
              <w:rPr>
                <w:sz w:val="20"/>
                <w:szCs w:val="20"/>
                <w:color w:val="auto"/>
              </w:rPr>
            </w:pPr>
            <w:r>
              <w:rPr>
                <w:rFonts w:ascii="Arial" w:cs="Arial" w:eastAsia="Arial" w:hAnsi="Arial"/>
                <w:sz w:val="18"/>
                <w:szCs w:val="18"/>
                <w:color w:val="auto"/>
                <w:w w:val="87"/>
              </w:rPr>
              <w:t>Substance use disorders:</w:t>
            </w:r>
          </w:p>
        </w:tc>
        <w:tc>
          <w:tcPr>
            <w:tcW w:w="3560" w:type="dxa"/>
            <w:vAlign w:val="bottom"/>
          </w:tcPr>
          <w:p>
            <w:pPr>
              <w:jc w:val="center"/>
              <w:ind w:left="470"/>
              <w:spacing w:after="0"/>
              <w:rPr>
                <w:sz w:val="20"/>
                <w:szCs w:val="20"/>
                <w:color w:val="auto"/>
              </w:rPr>
            </w:pPr>
            <w:r>
              <w:rPr>
                <w:rFonts w:ascii="Arial" w:cs="Arial" w:eastAsia="Arial" w:hAnsi="Arial"/>
                <w:sz w:val="18"/>
                <w:szCs w:val="18"/>
                <w:color w:val="auto"/>
                <w:w w:val="88"/>
              </w:rPr>
              <w:t>Increased parental absenteeism and lower</w:t>
            </w:r>
          </w:p>
        </w:tc>
      </w:tr>
      <w:tr>
        <w:trPr>
          <w:trHeight w:val="216"/>
        </w:trPr>
        <w:tc>
          <w:tcPr>
            <w:tcW w:w="3520" w:type="dxa"/>
            <w:vAlign w:val="bottom"/>
          </w:tcPr>
          <w:p>
            <w:pPr>
              <w:jc w:val="center"/>
              <w:ind w:right="210"/>
              <w:spacing w:after="0"/>
              <w:rPr>
                <w:sz w:val="20"/>
                <w:szCs w:val="20"/>
                <w:color w:val="auto"/>
              </w:rPr>
            </w:pPr>
            <w:r>
              <w:rPr>
                <w:rFonts w:ascii="Arial" w:cs="Arial" w:eastAsia="Arial" w:hAnsi="Arial"/>
                <w:sz w:val="18"/>
                <w:szCs w:val="18"/>
                <w:color w:val="auto"/>
                <w:w w:val="91"/>
              </w:rPr>
              <w:t>35% drop out</w:t>
            </w:r>
          </w:p>
        </w:tc>
        <w:tc>
          <w:tcPr>
            <w:tcW w:w="3780" w:type="dxa"/>
            <w:vAlign w:val="bottom"/>
          </w:tcPr>
          <w:p>
            <w:pPr>
              <w:jc w:val="center"/>
              <w:ind w:left="310"/>
              <w:spacing w:after="0"/>
              <w:rPr>
                <w:sz w:val="20"/>
                <w:szCs w:val="20"/>
                <w:color w:val="auto"/>
              </w:rPr>
            </w:pPr>
            <w:r>
              <w:rPr>
                <w:rFonts w:ascii="Arial" w:cs="Arial" w:eastAsia="Arial" w:hAnsi="Arial"/>
                <w:sz w:val="18"/>
                <w:szCs w:val="18"/>
                <w:color w:val="auto"/>
                <w:w w:val="91"/>
              </w:rPr>
              <w:t>2x risk and earlier onset</w:t>
            </w:r>
          </w:p>
        </w:tc>
        <w:tc>
          <w:tcPr>
            <w:tcW w:w="3560" w:type="dxa"/>
            <w:vAlign w:val="bottom"/>
          </w:tcPr>
          <w:p>
            <w:pPr>
              <w:jc w:val="center"/>
              <w:ind w:left="470"/>
              <w:spacing w:after="0"/>
              <w:rPr>
                <w:sz w:val="20"/>
                <w:szCs w:val="20"/>
                <w:color w:val="auto"/>
              </w:rPr>
            </w:pPr>
            <w:r>
              <w:rPr>
                <w:rFonts w:ascii="Arial" w:cs="Arial" w:eastAsia="Arial" w:hAnsi="Arial"/>
                <w:sz w:val="18"/>
                <w:szCs w:val="18"/>
                <w:color w:val="auto"/>
                <w:w w:val="96"/>
              </w:rPr>
              <w:t>productivity</w:t>
            </w:r>
          </w:p>
        </w:tc>
      </w:tr>
      <w:tr>
        <w:trPr>
          <w:trHeight w:val="230"/>
        </w:trPr>
        <w:tc>
          <w:tcPr>
            <w:tcW w:w="3520" w:type="dxa"/>
            <w:vAlign w:val="bottom"/>
          </w:tcPr>
          <w:p>
            <w:pPr>
              <w:jc w:val="center"/>
              <w:ind w:right="230"/>
              <w:spacing w:after="0"/>
              <w:rPr>
                <w:sz w:val="20"/>
                <w:szCs w:val="20"/>
                <w:color w:val="auto"/>
              </w:rPr>
            </w:pPr>
            <w:r>
              <w:rPr>
                <w:rFonts w:ascii="Arial" w:cs="Arial" w:eastAsia="Arial" w:hAnsi="Arial"/>
                <w:sz w:val="18"/>
                <w:szCs w:val="18"/>
                <w:color w:val="auto"/>
                <w:w w:val="90"/>
              </w:rPr>
              <w:t>Lower occupational status</w:t>
            </w:r>
          </w:p>
        </w:tc>
        <w:tc>
          <w:tcPr>
            <w:tcW w:w="3780" w:type="dxa"/>
            <w:vAlign w:val="bottom"/>
          </w:tcPr>
          <w:p>
            <w:pPr>
              <w:jc w:val="center"/>
              <w:ind w:left="290"/>
              <w:spacing w:after="0"/>
              <w:rPr>
                <w:sz w:val="20"/>
                <w:szCs w:val="20"/>
                <w:color w:val="auto"/>
              </w:rPr>
            </w:pPr>
            <w:r>
              <w:rPr>
                <w:rFonts w:ascii="Arial" w:cs="Arial" w:eastAsia="Arial" w:hAnsi="Arial"/>
                <w:sz w:val="18"/>
                <w:szCs w:val="18"/>
                <w:color w:val="auto"/>
                <w:w w:val="93"/>
              </w:rPr>
              <w:t>Less likely to quit in adulthood</w:t>
            </w:r>
          </w:p>
        </w:tc>
        <w:tc>
          <w:tcPr>
            <w:tcW w:w="356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b w:val="1"/>
                <w:bCs w:val="1"/>
                <w:color w:val="auto"/>
              </w:rPr>
              <w:t>Diagnosis of ADHD</w:t>
            </w:r>
          </w:p>
        </w:tc>
        <w:tc>
          <w:tcPr>
            <w:tcW w:w="3780" w:type="dxa"/>
            <w:vAlign w:val="bottom"/>
          </w:tcPr>
          <w:p>
            <w:pPr>
              <w:spacing w:after="0"/>
              <w:rPr>
                <w:sz w:val="24"/>
                <w:szCs w:val="24"/>
                <w:color w:val="auto"/>
              </w:rPr>
            </w:pPr>
          </w:p>
        </w:tc>
        <w:tc>
          <w:tcPr>
            <w:tcW w:w="3560" w:type="dxa"/>
            <w:vAlign w:val="bottom"/>
          </w:tcPr>
          <w:p>
            <w:pPr>
              <w:spacing w:after="0"/>
              <w:rPr>
                <w:sz w:val="24"/>
                <w:szCs w:val="24"/>
                <w:color w:val="auto"/>
              </w:rPr>
            </w:pPr>
          </w:p>
        </w:tc>
      </w:tr>
    </w:tbl>
    <w:p>
      <w:pPr>
        <w:spacing w:after="0" w:line="202" w:lineRule="exact"/>
        <w:rPr>
          <w:sz w:val="20"/>
          <w:szCs w:val="20"/>
          <w:color w:val="auto"/>
        </w:rPr>
      </w:pPr>
    </w:p>
    <w:p>
      <w:pPr>
        <w:ind w:right="160" w:firstLine="383"/>
        <w:spacing w:after="0" w:line="264" w:lineRule="auto"/>
        <w:rPr>
          <w:sz w:val="20"/>
          <w:szCs w:val="20"/>
          <w:color w:val="auto"/>
        </w:rPr>
      </w:pPr>
      <w:r>
        <w:rPr>
          <w:rFonts w:ascii="Arial" w:cs="Arial" w:eastAsia="Arial" w:hAnsi="Arial"/>
          <w:sz w:val="18"/>
          <w:szCs w:val="18"/>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or DSM-V, diagnostic criteria are most widely used to diagnose ADHD.</w:t>
      </w:r>
    </w:p>
    <w:p>
      <w:pPr>
        <w:spacing w:after="0" w:line="168" w:lineRule="exact"/>
        <w:rPr>
          <w:sz w:val="20"/>
          <w:szCs w:val="20"/>
          <w:color w:val="auto"/>
        </w:rPr>
      </w:pPr>
    </w:p>
    <w:p>
      <w:pPr>
        <w:ind w:left="700" w:right="520" w:hanging="341"/>
        <w:spacing w:after="0" w:line="231"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DSM-V criteria </w:t>
      </w:r>
      <w:r>
        <w:rPr>
          <w:rFonts w:ascii="Arial" w:cs="Arial" w:eastAsia="Arial" w:hAnsi="Arial"/>
          <w:sz w:val="18"/>
          <w:szCs w:val="18"/>
          <w:color w:val="auto"/>
        </w:rPr>
        <w:t>. The American Psychiatric Association provides a set of standardized criteria for classifying mental disorders known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and Statistical Manual of Mental Disorders, or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175" w:lineRule="exact"/>
        <w:rPr>
          <w:rFonts w:ascii="Arial" w:cs="Arial" w:eastAsia="Arial" w:hAnsi="Arial"/>
          <w:sz w:val="18"/>
          <w:szCs w:val="18"/>
          <w:color w:val="auto"/>
        </w:rPr>
      </w:pPr>
    </w:p>
    <w:p>
      <w:pPr>
        <w:ind w:left="2080" w:hanging="357"/>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Inattention – the patient makes careless mistakes in activities and is easily distracted</w:t>
      </w:r>
    </w:p>
    <w:p>
      <w:pPr>
        <w:spacing w:after="0" w:line="198" w:lineRule="exact"/>
        <w:rPr>
          <w:rFonts w:ascii="Arial" w:cs="Arial" w:eastAsia="Arial" w:hAnsi="Arial"/>
          <w:sz w:val="18"/>
          <w:szCs w:val="18"/>
          <w:color w:val="auto"/>
        </w:rPr>
      </w:pPr>
    </w:p>
    <w:p>
      <w:pPr>
        <w:ind w:left="2080" w:hanging="357"/>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Hyperactivity – the patients fidgets, squirms, talks excessively or displays restless behavior</w:t>
      </w:r>
    </w:p>
    <w:p>
      <w:pPr>
        <w:spacing w:after="0" w:line="198" w:lineRule="exact"/>
        <w:rPr>
          <w:rFonts w:ascii="Arial" w:cs="Arial" w:eastAsia="Arial" w:hAnsi="Arial"/>
          <w:sz w:val="18"/>
          <w:szCs w:val="18"/>
          <w:color w:val="auto"/>
        </w:rPr>
      </w:pPr>
    </w:p>
    <w:p>
      <w:pPr>
        <w:ind w:left="2080" w:hanging="357"/>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Impulsiveness – the patient interrupts others and cannot wait for a turn</w:t>
      </w:r>
    </w:p>
    <w:p>
      <w:pPr>
        <w:spacing w:after="0" w:line="198" w:lineRule="exact"/>
        <w:rPr>
          <w:rFonts w:ascii="Arial" w:cs="Arial" w:eastAsia="Arial" w:hAnsi="Arial"/>
          <w:sz w:val="18"/>
          <w:szCs w:val="18"/>
          <w:color w:val="auto"/>
        </w:rPr>
      </w:pPr>
    </w:p>
    <w:p>
      <w:pPr>
        <w:ind w:left="2080" w:hanging="357"/>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There must be clear evidence of significant impairment in social, school, or work functioning</w:t>
      </w:r>
    </w:p>
    <w:p>
      <w:pPr>
        <w:spacing w:after="0" w:line="198" w:lineRule="exact"/>
        <w:rPr>
          <w:rFonts w:ascii="Arial" w:cs="Arial" w:eastAsia="Arial" w:hAnsi="Arial"/>
          <w:sz w:val="18"/>
          <w:szCs w:val="18"/>
          <w:color w:val="auto"/>
        </w:rPr>
      </w:pPr>
    </w:p>
    <w:p>
      <w:pPr>
        <w:ind w:left="2080" w:hanging="357"/>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Signs of impairment present before twelve years of age and present in two or more settings (school/work and home)</w:t>
      </w:r>
    </w:p>
    <w:p>
      <w:pPr>
        <w:spacing w:after="0" w:line="198" w:lineRule="exact"/>
        <w:rPr>
          <w:rFonts w:ascii="Arial" w:cs="Arial" w:eastAsia="Arial" w:hAnsi="Arial"/>
          <w:sz w:val="18"/>
          <w:szCs w:val="18"/>
          <w:color w:val="auto"/>
        </w:rPr>
      </w:pPr>
    </w:p>
    <w:p>
      <w:pPr>
        <w:ind w:left="2080" w:hanging="357"/>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Signs are not better accounted for by another mental disorder</w:t>
      </w:r>
    </w:p>
    <w:p>
      <w:pPr>
        <w:spacing w:after="0" w:line="212" w:lineRule="exact"/>
        <w:rPr>
          <w:sz w:val="20"/>
          <w:szCs w:val="20"/>
          <w:color w:val="auto"/>
        </w:rPr>
      </w:pPr>
    </w:p>
    <w:p>
      <w:pPr>
        <w:ind w:right="40" w:firstLine="383"/>
        <w:spacing w:after="0" w:line="264" w:lineRule="auto"/>
        <w:rPr>
          <w:sz w:val="20"/>
          <w:szCs w:val="20"/>
          <w:color w:val="auto"/>
        </w:rPr>
      </w:pPr>
      <w:r>
        <w:rPr>
          <w:rFonts w:ascii="Arial" w:cs="Arial" w:eastAsia="Arial" w:hAnsi="Arial"/>
          <w:sz w:val="18"/>
          <w:szCs w:val="18"/>
          <w:color w:val="auto"/>
        </w:rPr>
        <w:t>The DSM-V criteria are becoming more prevalent as the diagnostic measure for ADHD in Europe and Japan. If the DSM-V criteria are used, rather than an alternative measure in declining use, a diagnosis of ADHD is three to four times more likely. Consequently, the size of the market in Europe and Japan is set to grow with improved diagnosis rates driven by adoption of the DSM-V criteria.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Products – ADHD</w:t>
      </w:r>
    </w:p>
    <w:p>
      <w:pPr>
        <w:spacing w:after="0" w:line="229"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color w:val="auto"/>
        </w:rPr>
        <w:t>The four drugs to treat ADHD that to our knowledge had the most sales in 2014 on a worldwide basis are shown in the following table, together with the drug brand name, owner, and historic or expected peak sales. Out of the drugs listed below, Vyvanse, Concerta and Adderall XR are stimulants and Strattera is a non-stimulant drug.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0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Brand</w:t>
            </w:r>
          </w:p>
        </w:tc>
        <w:tc>
          <w:tcPr>
            <w:tcW w:w="2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Global Sales in 2014</w:t>
            </w:r>
          </w:p>
        </w:tc>
        <w:tc>
          <w:tcPr>
            <w:tcW w:w="262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Peak Global Sales</w:t>
            </w:r>
          </w:p>
        </w:tc>
      </w:tr>
      <w:tr>
        <w:trPr>
          <w:trHeight w:val="230"/>
        </w:trPr>
        <w:tc>
          <w:tcPr>
            <w:tcW w:w="180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(launch)</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Generic Name</w:t>
            </w:r>
          </w:p>
        </w:tc>
        <w:tc>
          <w:tcPr>
            <w:tcW w:w="148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Owner</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2"/>
              </w:rPr>
              <w:t>U.S. Dollars in Millions</w:t>
            </w:r>
          </w:p>
        </w:tc>
        <w:tc>
          <w:tcPr>
            <w:tcW w:w="262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U.S. Dollars in Millions</w:t>
            </w:r>
          </w:p>
        </w:tc>
      </w:tr>
      <w:tr>
        <w:trPr>
          <w:trHeight w:val="161"/>
        </w:trPr>
        <w:tc>
          <w:tcPr>
            <w:tcW w:w="1800" w:type="dxa"/>
            <w:vAlign w:val="bottom"/>
            <w:shd w:val="clear" w:color="auto" w:fill="CCEEFF"/>
          </w:tcPr>
          <w:p>
            <w:pPr>
              <w:jc w:val="center"/>
              <w:ind w:left="70"/>
              <w:spacing w:after="0" w:line="161" w:lineRule="exact"/>
              <w:rPr>
                <w:sz w:val="20"/>
                <w:szCs w:val="20"/>
                <w:color w:val="auto"/>
              </w:rPr>
            </w:pPr>
            <w:r>
              <w:rPr>
                <w:rFonts w:ascii="Arial" w:cs="Arial" w:eastAsia="Arial" w:hAnsi="Arial"/>
                <w:sz w:val="18"/>
                <w:szCs w:val="18"/>
                <w:color w:val="auto"/>
                <w:w w:val="86"/>
              </w:rPr>
              <w:t>Vyvanse</w:t>
            </w:r>
          </w:p>
        </w:tc>
        <w:tc>
          <w:tcPr>
            <w:tcW w:w="2560" w:type="dxa"/>
            <w:vAlign w:val="bottom"/>
            <w:shd w:val="clear" w:color="auto" w:fill="CCEEFF"/>
          </w:tcPr>
          <w:p>
            <w:pPr>
              <w:jc w:val="center"/>
              <w:spacing w:after="0" w:line="161" w:lineRule="exact"/>
              <w:rPr>
                <w:sz w:val="20"/>
                <w:szCs w:val="20"/>
                <w:color w:val="auto"/>
              </w:rPr>
            </w:pPr>
            <w:r>
              <w:rPr>
                <w:rFonts w:ascii="Arial" w:cs="Arial" w:eastAsia="Arial" w:hAnsi="Arial"/>
                <w:sz w:val="18"/>
                <w:szCs w:val="18"/>
                <w:color w:val="auto"/>
                <w:w w:val="91"/>
              </w:rPr>
              <w:t>Lisdexamfetamine</w:t>
            </w:r>
          </w:p>
        </w:tc>
        <w:tc>
          <w:tcPr>
            <w:tcW w:w="1480" w:type="dxa"/>
            <w:vAlign w:val="bottom"/>
            <w:shd w:val="clear" w:color="auto" w:fill="CCEEFF"/>
          </w:tcPr>
          <w:p>
            <w:pPr>
              <w:jc w:val="center"/>
              <w:ind w:right="210"/>
              <w:spacing w:after="0" w:line="161" w:lineRule="exact"/>
              <w:rPr>
                <w:sz w:val="20"/>
                <w:szCs w:val="20"/>
                <w:color w:val="auto"/>
              </w:rPr>
            </w:pPr>
            <w:r>
              <w:rPr>
                <w:rFonts w:ascii="Arial" w:cs="Arial" w:eastAsia="Arial" w:hAnsi="Arial"/>
                <w:sz w:val="18"/>
                <w:szCs w:val="18"/>
                <w:color w:val="auto"/>
                <w:w w:val="90"/>
              </w:rPr>
              <w:t>Shire</w:t>
            </w:r>
          </w:p>
        </w:tc>
        <w:tc>
          <w:tcPr>
            <w:tcW w:w="2960" w:type="dxa"/>
            <w:vAlign w:val="bottom"/>
            <w:shd w:val="clear" w:color="auto" w:fill="CCEEFF"/>
          </w:tcPr>
          <w:p>
            <w:pPr>
              <w:jc w:val="center"/>
              <w:ind w:left="150"/>
              <w:spacing w:after="0" w:line="161" w:lineRule="exact"/>
              <w:rPr>
                <w:sz w:val="20"/>
                <w:szCs w:val="20"/>
                <w:color w:val="auto"/>
              </w:rPr>
            </w:pPr>
            <w:r>
              <w:rPr>
                <w:rFonts w:ascii="Arial" w:cs="Arial" w:eastAsia="Arial" w:hAnsi="Arial"/>
                <w:sz w:val="18"/>
                <w:szCs w:val="18"/>
                <w:color w:val="auto"/>
                <w:w w:val="88"/>
              </w:rPr>
              <w:t>1,449</w:t>
            </w:r>
          </w:p>
        </w:tc>
        <w:tc>
          <w:tcPr>
            <w:tcW w:w="2620" w:type="dxa"/>
            <w:vAlign w:val="bottom"/>
            <w:shd w:val="clear" w:color="auto" w:fill="CCEEFF"/>
          </w:tcPr>
          <w:p>
            <w:pPr>
              <w:jc w:val="center"/>
              <w:ind w:left="250"/>
              <w:spacing w:after="0" w:line="161" w:lineRule="exact"/>
              <w:rPr>
                <w:sz w:val="20"/>
                <w:szCs w:val="20"/>
                <w:color w:val="auto"/>
              </w:rPr>
            </w:pPr>
            <w:r>
              <w:rPr>
                <w:rFonts w:ascii="Arial" w:cs="Arial" w:eastAsia="Arial" w:hAnsi="Arial"/>
                <w:sz w:val="18"/>
                <w:szCs w:val="18"/>
                <w:color w:val="auto"/>
                <w:w w:val="89"/>
              </w:rPr>
              <w:t>&gt; 2,000 (est. 2018)</w:t>
            </w:r>
          </w:p>
        </w:tc>
      </w:tr>
      <w:tr>
        <w:trPr>
          <w:trHeight w:val="217"/>
        </w:trPr>
        <w:tc>
          <w:tcPr>
            <w:tcW w:w="1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(2007)</w:t>
            </w:r>
          </w:p>
        </w:tc>
        <w:tc>
          <w:tcPr>
            <w:tcW w:w="2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161"/>
        </w:trPr>
        <w:tc>
          <w:tcPr>
            <w:tcW w:w="1800" w:type="dxa"/>
            <w:vAlign w:val="bottom"/>
          </w:tcPr>
          <w:p>
            <w:pPr>
              <w:jc w:val="center"/>
              <w:ind w:left="70"/>
              <w:spacing w:after="0" w:line="161" w:lineRule="exact"/>
              <w:rPr>
                <w:sz w:val="20"/>
                <w:szCs w:val="20"/>
                <w:color w:val="auto"/>
              </w:rPr>
            </w:pPr>
            <w:r>
              <w:rPr>
                <w:rFonts w:ascii="Arial" w:cs="Arial" w:eastAsia="Arial" w:hAnsi="Arial"/>
                <w:sz w:val="18"/>
                <w:szCs w:val="18"/>
                <w:color w:val="auto"/>
                <w:w w:val="87"/>
              </w:rPr>
              <w:t>Concerta</w:t>
            </w:r>
          </w:p>
        </w:tc>
        <w:tc>
          <w:tcPr>
            <w:tcW w:w="2560" w:type="dxa"/>
            <w:vAlign w:val="bottom"/>
          </w:tcPr>
          <w:p>
            <w:pPr>
              <w:jc w:val="center"/>
              <w:spacing w:after="0" w:line="161" w:lineRule="exact"/>
              <w:rPr>
                <w:sz w:val="20"/>
                <w:szCs w:val="20"/>
                <w:color w:val="auto"/>
              </w:rPr>
            </w:pPr>
            <w:r>
              <w:rPr>
                <w:rFonts w:ascii="Arial" w:cs="Arial" w:eastAsia="Arial" w:hAnsi="Arial"/>
                <w:sz w:val="18"/>
                <w:szCs w:val="18"/>
                <w:color w:val="auto"/>
                <w:w w:val="91"/>
              </w:rPr>
              <w:t>OROS Methylphenidate</w:t>
            </w:r>
          </w:p>
        </w:tc>
        <w:tc>
          <w:tcPr>
            <w:tcW w:w="1480" w:type="dxa"/>
            <w:vAlign w:val="bottom"/>
          </w:tcPr>
          <w:p>
            <w:pPr>
              <w:jc w:val="center"/>
              <w:ind w:right="190"/>
              <w:spacing w:after="0" w:line="161" w:lineRule="exact"/>
              <w:rPr>
                <w:sz w:val="20"/>
                <w:szCs w:val="20"/>
                <w:color w:val="auto"/>
              </w:rPr>
            </w:pPr>
            <w:r>
              <w:rPr>
                <w:rFonts w:ascii="Arial" w:cs="Arial" w:eastAsia="Arial" w:hAnsi="Arial"/>
                <w:sz w:val="18"/>
                <w:szCs w:val="18"/>
                <w:color w:val="auto"/>
                <w:w w:val="93"/>
              </w:rPr>
              <w:t>J&amp;J</w:t>
            </w:r>
          </w:p>
        </w:tc>
        <w:tc>
          <w:tcPr>
            <w:tcW w:w="2960" w:type="dxa"/>
            <w:vAlign w:val="bottom"/>
          </w:tcPr>
          <w:p>
            <w:pPr>
              <w:jc w:val="center"/>
              <w:ind w:left="150"/>
              <w:spacing w:after="0" w:line="161" w:lineRule="exact"/>
              <w:rPr>
                <w:sz w:val="20"/>
                <w:szCs w:val="20"/>
                <w:color w:val="auto"/>
              </w:rPr>
            </w:pPr>
            <w:r>
              <w:rPr>
                <w:rFonts w:ascii="Arial" w:cs="Arial" w:eastAsia="Arial" w:hAnsi="Arial"/>
                <w:sz w:val="18"/>
                <w:szCs w:val="18"/>
                <w:color w:val="auto"/>
                <w:w w:val="93"/>
              </w:rPr>
              <w:t>599</w:t>
            </w:r>
          </w:p>
        </w:tc>
        <w:tc>
          <w:tcPr>
            <w:tcW w:w="2620" w:type="dxa"/>
            <w:vAlign w:val="bottom"/>
          </w:tcPr>
          <w:p>
            <w:pPr>
              <w:jc w:val="center"/>
              <w:ind w:left="250"/>
              <w:spacing w:after="0" w:line="161" w:lineRule="exact"/>
              <w:rPr>
                <w:sz w:val="20"/>
                <w:szCs w:val="20"/>
                <w:color w:val="auto"/>
              </w:rPr>
            </w:pPr>
            <w:r>
              <w:rPr>
                <w:rFonts w:ascii="Arial" w:cs="Arial" w:eastAsia="Arial" w:hAnsi="Arial"/>
                <w:sz w:val="18"/>
                <w:szCs w:val="18"/>
                <w:color w:val="auto"/>
                <w:w w:val="90"/>
              </w:rPr>
              <w:t>1,326 (2009)</w:t>
            </w:r>
          </w:p>
        </w:tc>
      </w:tr>
      <w:tr>
        <w:trPr>
          <w:trHeight w:val="217"/>
        </w:trPr>
        <w:tc>
          <w:tcPr>
            <w:tcW w:w="1800" w:type="dxa"/>
            <w:vAlign w:val="bottom"/>
          </w:tcPr>
          <w:p>
            <w:pPr>
              <w:jc w:val="center"/>
              <w:ind w:left="70"/>
              <w:spacing w:after="0"/>
              <w:rPr>
                <w:sz w:val="20"/>
                <w:szCs w:val="20"/>
                <w:color w:val="auto"/>
              </w:rPr>
            </w:pPr>
            <w:r>
              <w:rPr>
                <w:rFonts w:ascii="Arial" w:cs="Arial" w:eastAsia="Arial" w:hAnsi="Arial"/>
                <w:sz w:val="18"/>
                <w:szCs w:val="18"/>
                <w:color w:val="auto"/>
                <w:w w:val="92"/>
              </w:rPr>
              <w:t>(2000)</w:t>
            </w:r>
          </w:p>
        </w:tc>
        <w:tc>
          <w:tcPr>
            <w:tcW w:w="2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61"/>
        </w:trPr>
        <w:tc>
          <w:tcPr>
            <w:tcW w:w="1800" w:type="dxa"/>
            <w:vAlign w:val="bottom"/>
            <w:shd w:val="clear" w:color="auto" w:fill="CCEEFF"/>
          </w:tcPr>
          <w:p>
            <w:pPr>
              <w:jc w:val="center"/>
              <w:ind w:left="70"/>
              <w:spacing w:after="0" w:line="161" w:lineRule="exact"/>
              <w:rPr>
                <w:sz w:val="20"/>
                <w:szCs w:val="20"/>
                <w:color w:val="auto"/>
              </w:rPr>
            </w:pPr>
            <w:r>
              <w:rPr>
                <w:rFonts w:ascii="Arial" w:cs="Arial" w:eastAsia="Arial" w:hAnsi="Arial"/>
                <w:sz w:val="18"/>
                <w:szCs w:val="18"/>
                <w:color w:val="auto"/>
                <w:w w:val="86"/>
              </w:rPr>
              <w:t>Strattera</w:t>
            </w:r>
          </w:p>
        </w:tc>
        <w:tc>
          <w:tcPr>
            <w:tcW w:w="2560" w:type="dxa"/>
            <w:vAlign w:val="bottom"/>
            <w:shd w:val="clear" w:color="auto" w:fill="CCEEFF"/>
          </w:tcPr>
          <w:p>
            <w:pPr>
              <w:jc w:val="center"/>
              <w:spacing w:after="0" w:line="161" w:lineRule="exact"/>
              <w:rPr>
                <w:sz w:val="20"/>
                <w:szCs w:val="20"/>
                <w:color w:val="auto"/>
              </w:rPr>
            </w:pPr>
            <w:r>
              <w:rPr>
                <w:rFonts w:ascii="Arial" w:cs="Arial" w:eastAsia="Arial" w:hAnsi="Arial"/>
                <w:sz w:val="18"/>
                <w:szCs w:val="18"/>
                <w:color w:val="auto"/>
                <w:w w:val="93"/>
              </w:rPr>
              <w:t>Atomoxetine</w:t>
            </w:r>
          </w:p>
        </w:tc>
        <w:tc>
          <w:tcPr>
            <w:tcW w:w="1480" w:type="dxa"/>
            <w:vAlign w:val="bottom"/>
            <w:shd w:val="clear" w:color="auto" w:fill="CCEEFF"/>
          </w:tcPr>
          <w:p>
            <w:pPr>
              <w:jc w:val="center"/>
              <w:ind w:right="210"/>
              <w:spacing w:after="0" w:line="161" w:lineRule="exact"/>
              <w:rPr>
                <w:sz w:val="20"/>
                <w:szCs w:val="20"/>
                <w:color w:val="auto"/>
              </w:rPr>
            </w:pPr>
            <w:r>
              <w:rPr>
                <w:rFonts w:ascii="Arial" w:cs="Arial" w:eastAsia="Arial" w:hAnsi="Arial"/>
                <w:sz w:val="18"/>
                <w:szCs w:val="18"/>
                <w:color w:val="auto"/>
              </w:rPr>
              <w:t>Eli Lilly</w:t>
            </w:r>
          </w:p>
        </w:tc>
        <w:tc>
          <w:tcPr>
            <w:tcW w:w="2960" w:type="dxa"/>
            <w:vAlign w:val="bottom"/>
            <w:shd w:val="clear" w:color="auto" w:fill="CCEEFF"/>
          </w:tcPr>
          <w:p>
            <w:pPr>
              <w:jc w:val="center"/>
              <w:ind w:left="150"/>
              <w:spacing w:after="0" w:line="161" w:lineRule="exact"/>
              <w:rPr>
                <w:sz w:val="20"/>
                <w:szCs w:val="20"/>
                <w:color w:val="auto"/>
              </w:rPr>
            </w:pPr>
            <w:r>
              <w:rPr>
                <w:rFonts w:ascii="Arial" w:cs="Arial" w:eastAsia="Arial" w:hAnsi="Arial"/>
                <w:sz w:val="18"/>
                <w:szCs w:val="18"/>
                <w:color w:val="auto"/>
                <w:w w:val="93"/>
              </w:rPr>
              <w:t>739</w:t>
            </w:r>
          </w:p>
        </w:tc>
        <w:tc>
          <w:tcPr>
            <w:tcW w:w="2620" w:type="dxa"/>
            <w:vAlign w:val="bottom"/>
            <w:shd w:val="clear" w:color="auto" w:fill="CCEEFF"/>
          </w:tcPr>
          <w:p>
            <w:pPr>
              <w:jc w:val="center"/>
              <w:ind w:left="250"/>
              <w:spacing w:after="0" w:line="161" w:lineRule="exact"/>
              <w:rPr>
                <w:sz w:val="20"/>
                <w:szCs w:val="20"/>
                <w:color w:val="auto"/>
              </w:rPr>
            </w:pPr>
            <w:r>
              <w:rPr>
                <w:rFonts w:ascii="Arial" w:cs="Arial" w:eastAsia="Arial" w:hAnsi="Arial"/>
                <w:sz w:val="18"/>
                <w:szCs w:val="18"/>
                <w:color w:val="auto"/>
                <w:w w:val="91"/>
              </w:rPr>
              <w:t>&gt;800 (est. 2016)</w:t>
            </w:r>
          </w:p>
        </w:tc>
      </w:tr>
      <w:tr>
        <w:trPr>
          <w:trHeight w:val="217"/>
        </w:trPr>
        <w:tc>
          <w:tcPr>
            <w:tcW w:w="1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(2002)</w:t>
            </w:r>
          </w:p>
        </w:tc>
        <w:tc>
          <w:tcPr>
            <w:tcW w:w="2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161"/>
        </w:trPr>
        <w:tc>
          <w:tcPr>
            <w:tcW w:w="1800" w:type="dxa"/>
            <w:vAlign w:val="bottom"/>
          </w:tcPr>
          <w:p>
            <w:pPr>
              <w:jc w:val="center"/>
              <w:ind w:left="70"/>
              <w:spacing w:after="0" w:line="161" w:lineRule="exact"/>
              <w:rPr>
                <w:sz w:val="20"/>
                <w:szCs w:val="20"/>
                <w:color w:val="auto"/>
              </w:rPr>
            </w:pPr>
            <w:r>
              <w:rPr>
                <w:rFonts w:ascii="Arial" w:cs="Arial" w:eastAsia="Arial" w:hAnsi="Arial"/>
                <w:sz w:val="18"/>
                <w:szCs w:val="18"/>
                <w:color w:val="auto"/>
                <w:w w:val="95"/>
              </w:rPr>
              <w:t>Adderall XR</w:t>
            </w:r>
          </w:p>
        </w:tc>
        <w:tc>
          <w:tcPr>
            <w:tcW w:w="2560" w:type="dxa"/>
            <w:vAlign w:val="bottom"/>
          </w:tcPr>
          <w:p>
            <w:pPr>
              <w:jc w:val="center"/>
              <w:spacing w:after="0" w:line="161" w:lineRule="exact"/>
              <w:rPr>
                <w:sz w:val="20"/>
                <w:szCs w:val="20"/>
                <w:color w:val="auto"/>
              </w:rPr>
            </w:pPr>
            <w:r>
              <w:rPr>
                <w:rFonts w:ascii="Arial" w:cs="Arial" w:eastAsia="Arial" w:hAnsi="Arial"/>
                <w:sz w:val="18"/>
                <w:szCs w:val="18"/>
                <w:color w:val="auto"/>
                <w:w w:val="92"/>
              </w:rPr>
              <w:t>Mixed Amphetamine Salts</w:t>
            </w:r>
          </w:p>
        </w:tc>
        <w:tc>
          <w:tcPr>
            <w:tcW w:w="1480" w:type="dxa"/>
            <w:vAlign w:val="bottom"/>
          </w:tcPr>
          <w:p>
            <w:pPr>
              <w:jc w:val="center"/>
              <w:ind w:right="210"/>
              <w:spacing w:after="0" w:line="161" w:lineRule="exact"/>
              <w:rPr>
                <w:sz w:val="20"/>
                <w:szCs w:val="20"/>
                <w:color w:val="auto"/>
              </w:rPr>
            </w:pPr>
            <w:r>
              <w:rPr>
                <w:rFonts w:ascii="Arial" w:cs="Arial" w:eastAsia="Arial" w:hAnsi="Arial"/>
                <w:sz w:val="18"/>
                <w:szCs w:val="18"/>
                <w:color w:val="auto"/>
                <w:w w:val="90"/>
              </w:rPr>
              <w:t>Shire</w:t>
            </w:r>
          </w:p>
        </w:tc>
        <w:tc>
          <w:tcPr>
            <w:tcW w:w="2960" w:type="dxa"/>
            <w:vAlign w:val="bottom"/>
          </w:tcPr>
          <w:p>
            <w:pPr>
              <w:jc w:val="center"/>
              <w:ind w:left="150"/>
              <w:spacing w:after="0" w:line="161" w:lineRule="exact"/>
              <w:rPr>
                <w:sz w:val="20"/>
                <w:szCs w:val="20"/>
                <w:color w:val="auto"/>
              </w:rPr>
            </w:pPr>
            <w:r>
              <w:rPr>
                <w:rFonts w:ascii="Arial" w:cs="Arial" w:eastAsia="Arial" w:hAnsi="Arial"/>
                <w:sz w:val="18"/>
                <w:szCs w:val="18"/>
                <w:color w:val="auto"/>
                <w:w w:val="93"/>
              </w:rPr>
              <w:t>383</w:t>
            </w:r>
          </w:p>
        </w:tc>
        <w:tc>
          <w:tcPr>
            <w:tcW w:w="2620" w:type="dxa"/>
            <w:vAlign w:val="bottom"/>
          </w:tcPr>
          <w:p>
            <w:pPr>
              <w:jc w:val="center"/>
              <w:ind w:left="250"/>
              <w:spacing w:after="0" w:line="161" w:lineRule="exact"/>
              <w:rPr>
                <w:sz w:val="20"/>
                <w:szCs w:val="20"/>
                <w:color w:val="auto"/>
              </w:rPr>
            </w:pPr>
            <w:r>
              <w:rPr>
                <w:rFonts w:ascii="Arial" w:cs="Arial" w:eastAsia="Arial" w:hAnsi="Arial"/>
                <w:sz w:val="18"/>
                <w:szCs w:val="18"/>
                <w:color w:val="auto"/>
                <w:w w:val="90"/>
              </w:rPr>
              <w:t>1,102 (2008)</w:t>
            </w:r>
          </w:p>
        </w:tc>
      </w:tr>
      <w:tr>
        <w:trPr>
          <w:trHeight w:val="230"/>
        </w:trPr>
        <w:tc>
          <w:tcPr>
            <w:tcW w:w="1800" w:type="dxa"/>
            <w:vAlign w:val="bottom"/>
          </w:tcPr>
          <w:p>
            <w:pPr>
              <w:jc w:val="center"/>
              <w:ind w:left="70"/>
              <w:spacing w:after="0"/>
              <w:rPr>
                <w:sz w:val="20"/>
                <w:szCs w:val="20"/>
                <w:color w:val="auto"/>
              </w:rPr>
            </w:pPr>
            <w:r>
              <w:rPr>
                <w:rFonts w:ascii="Arial" w:cs="Arial" w:eastAsia="Arial" w:hAnsi="Arial"/>
                <w:sz w:val="18"/>
                <w:szCs w:val="18"/>
                <w:color w:val="auto"/>
                <w:w w:val="92"/>
              </w:rPr>
              <w:t>(2001)</w:t>
            </w:r>
          </w:p>
        </w:tc>
        <w:tc>
          <w:tcPr>
            <w:tcW w:w="2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Treatment Options for ADHD</w:t>
      </w:r>
    </w:p>
    <w:p>
      <w:pPr>
        <w:spacing w:after="0" w:line="229" w:lineRule="exact"/>
        <w:rPr>
          <w:sz w:val="20"/>
          <w:szCs w:val="20"/>
          <w:color w:val="auto"/>
        </w:rPr>
      </w:pPr>
    </w:p>
    <w:p>
      <w:pPr>
        <w:ind w:right="360" w:firstLine="428"/>
        <w:spacing w:after="0" w:line="308" w:lineRule="auto"/>
        <w:rPr>
          <w:sz w:val="20"/>
          <w:szCs w:val="20"/>
          <w:color w:val="auto"/>
        </w:rPr>
      </w:pPr>
      <w:r>
        <w:rPr>
          <w:rFonts w:ascii="Arial" w:cs="Arial" w:eastAsia="Arial" w:hAnsi="Arial"/>
          <w:sz w:val="17"/>
          <w:szCs w:val="17"/>
          <w:color w:val="auto"/>
        </w:rPr>
        <w:t>Because of the significant side effects and abuse potential associated with current stimulant treatment options for ADHD which are classified in the same controlled substance category as narcotics, there is a significant need to develop safe and effective treatment alternatives.</w:t>
      </w:r>
    </w:p>
    <w:p>
      <w:pPr>
        <w:spacing w:after="0" w:line="147" w:lineRule="exact"/>
        <w:rPr>
          <w:sz w:val="20"/>
          <w:szCs w:val="20"/>
          <w:color w:val="auto"/>
        </w:rPr>
      </w:pPr>
    </w:p>
    <w:p>
      <w:pPr>
        <w:ind w:right="20" w:firstLine="383"/>
        <w:spacing w:after="0" w:line="291"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with ADHD that is a non-stimulant. Strattera has been effective, but it also has serious side effects, such as fatigue, GI upset, sexual problems, palpitations, increased heart rate, blood pressure, and regulatory warning labels on suicidal thoughts and liver damage. Moreover, Strattera also takes six to eight weeks to achieve full clinical effects. MDX has low potential to be an abused drug, has shown efficacy after a single dose and improved safety profile, and we believe that, if approved, its market entry should increase treatment rates and drive market growth.</w:t>
      </w:r>
    </w:p>
    <w:p>
      <w:pPr>
        <w:spacing w:after="0" w:line="16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right="220" w:firstLine="383"/>
        <w:spacing w:after="0" w:line="259" w:lineRule="auto"/>
        <w:rPr>
          <w:sz w:val="20"/>
          <w:szCs w:val="20"/>
          <w:color w:val="auto"/>
        </w:rPr>
      </w:pPr>
      <w:r>
        <w:rPr>
          <w:rFonts w:ascii="Arial" w:cs="Arial" w:eastAsia="Arial" w:hAnsi="Arial"/>
          <w:sz w:val="18"/>
          <w:szCs w:val="18"/>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patients continuing on therapy 12 months after they are first prescribed medication. Therefore, there is a significant need to develop safe and effective treatment alternatives, particularly ones devoid of abuse potential and significant side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Data in ADHD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Symptom and Clinical Efficacy Measurement</w:t>
      </w:r>
    </w:p>
    <w:p>
      <w:pPr>
        <w:spacing w:after="0" w:line="229" w:lineRule="exact"/>
        <w:rPr>
          <w:sz w:val="20"/>
          <w:szCs w:val="20"/>
          <w:color w:val="auto"/>
        </w:rPr>
      </w:pPr>
    </w:p>
    <w:p>
      <w:pPr>
        <w:ind w:right="120" w:firstLine="383"/>
        <w:spacing w:after="0" w:line="264" w:lineRule="auto"/>
        <w:rPr>
          <w:sz w:val="20"/>
          <w:szCs w:val="20"/>
          <w:color w:val="auto"/>
        </w:rPr>
      </w:pPr>
      <w:r>
        <w:rPr>
          <w:rFonts w:ascii="Arial" w:cs="Arial" w:eastAsia="Arial" w:hAnsi="Arial"/>
          <w:sz w:val="18"/>
          <w:szCs w:val="18"/>
          <w:color w:val="auto"/>
        </w:rPr>
        <w:t>There are various methodologies for evaluating and measuring changes in the symptoms of ADHD patients, including behavior rating scales conducted by an observer or the patient themselves, and computer-based cognitive performance tests. Examples of commonly used methodologies to test the clinical efficacy of ADHD pharmacotherapies include:</w:t>
      </w:r>
    </w:p>
    <w:p>
      <w:pPr>
        <w:spacing w:after="0" w:line="168" w:lineRule="exact"/>
        <w:rPr>
          <w:sz w:val="20"/>
          <w:szCs w:val="20"/>
          <w:color w:val="auto"/>
        </w:rPr>
      </w:pPr>
    </w:p>
    <w:p>
      <w:pPr>
        <w:ind w:left="920" w:right="80" w:hanging="453"/>
        <w:spacing w:after="0" w:line="231"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Conners’ Adult ADHD Rating Scales, or CAARS. </w:t>
      </w:r>
      <w:r>
        <w:rPr>
          <w:rFonts w:ascii="Arial" w:cs="Arial" w:eastAsia="Arial" w:hAnsi="Arial"/>
          <w:sz w:val="18"/>
          <w:szCs w:val="18"/>
          <w:color w:val="auto"/>
        </w:rPr>
        <w:t>CAARS measures the presence, frequency and severity of ADHD symptoms. The scales</w:t>
      </w:r>
      <w:r>
        <w:rPr>
          <w:rFonts w:ascii="Arial" w:cs="Arial" w:eastAsia="Arial" w:hAnsi="Arial"/>
          <w:sz w:val="18"/>
          <w:szCs w:val="18"/>
          <w:i w:val="1"/>
          <w:iCs w:val="1"/>
          <w:color w:val="auto"/>
        </w:rPr>
        <w:t xml:space="preserve"> </w:t>
      </w:r>
      <w:r>
        <w:rPr>
          <w:rFonts w:ascii="Arial" w:cs="Arial" w:eastAsia="Arial" w:hAnsi="Arial"/>
          <w:sz w:val="18"/>
          <w:szCs w:val="18"/>
          <w:color w:val="auto"/>
        </w:rPr>
        <w:t>quantitatively measure ADHD symptoms using 18 items. The scale has been used extensively in clinical trials including pivotal adult Phase 3 studies of approved pharmacotherapies for ADHD. Behavioral rating scales, similar to the CAARS measure, but with age-appropriate questions, are used for the assessment of ADHD symptoms in children.</w:t>
      </w:r>
    </w:p>
    <w:p>
      <w:pPr>
        <w:spacing w:after="0" w:line="175" w:lineRule="exact"/>
        <w:rPr>
          <w:rFonts w:ascii="Arial" w:cs="Arial" w:eastAsia="Arial" w:hAnsi="Arial"/>
          <w:sz w:val="18"/>
          <w:szCs w:val="18"/>
          <w:color w:val="auto"/>
        </w:rPr>
      </w:pPr>
    </w:p>
    <w:p>
      <w:pPr>
        <w:ind w:left="920" w:right="40" w:hanging="453"/>
        <w:spacing w:after="0" w:line="228"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Test of Variables of Attention, or TOVA. </w:t>
      </w:r>
      <w:r>
        <w:rPr>
          <w:rFonts w:ascii="Arial" w:cs="Arial" w:eastAsia="Arial" w:hAnsi="Arial"/>
          <w:sz w:val="18"/>
          <w:szCs w:val="18"/>
          <w:color w:val="auto"/>
        </w:rPr>
        <w:t>TOVA is a computerized test that assists in the screening, diagnosis, and treatment monitoring of</w:t>
      </w:r>
      <w:r>
        <w:rPr>
          <w:rFonts w:ascii="Arial" w:cs="Arial" w:eastAsia="Arial" w:hAnsi="Arial"/>
          <w:sz w:val="18"/>
          <w:szCs w:val="18"/>
          <w:i w:val="1"/>
          <w:iCs w:val="1"/>
          <w:color w:val="auto"/>
        </w:rPr>
        <w:t xml:space="preserve"> </w:t>
      </w:r>
      <w:r>
        <w:rPr>
          <w:rFonts w:ascii="Arial" w:cs="Arial" w:eastAsia="Arial" w:hAnsi="Arial"/>
          <w:sz w:val="18"/>
          <w:szCs w:val="18"/>
          <w:color w:val="auto"/>
        </w:rPr>
        <w:t>attention disorders such as ADHD. The test provides an objective, quantitative measure of attention. The test consists of a 20-minute activity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Clinical Studies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conducted several Phase 2 clinical trials in adults and adolescents with ADHD and one Phase 3 clinical trial in adult ADHD subjects,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and Israel, testing the safety and efficacy of our novel non-stimulant drug candidate, MDX. These trials included:</w:t>
      </w:r>
    </w:p>
    <w:p>
      <w:pPr>
        <w:spacing w:after="0" w:line="200" w:lineRule="exact"/>
        <w:rPr>
          <w:sz w:val="20"/>
          <w:szCs w:val="20"/>
          <w:color w:val="auto"/>
        </w:rPr>
      </w:pPr>
    </w:p>
    <w:p>
      <w:pPr>
        <w:spacing w:after="0" w:line="213" w:lineRule="exact"/>
        <w:rPr>
          <w:sz w:val="20"/>
          <w:szCs w:val="20"/>
          <w:color w:val="auto"/>
        </w:rPr>
      </w:pPr>
    </w:p>
    <w:p>
      <w:pPr>
        <w:ind w:left="920" w:right="160" w:hanging="453"/>
        <w:spacing w:after="0" w:line="246"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Phase 2a open label proof of concept study of 40 adult ADHD subjects, followed by two extension studies to determine duration of effect and efficacy of various dosages;</w:t>
      </w:r>
    </w:p>
    <w:p>
      <w:pPr>
        <w:spacing w:after="0" w:line="169" w:lineRule="exact"/>
        <w:rPr>
          <w:rFonts w:ascii="Arial" w:cs="Arial" w:eastAsia="Arial" w:hAnsi="Arial"/>
          <w:sz w:val="18"/>
          <w:szCs w:val="18"/>
          <w:color w:val="auto"/>
        </w:rPr>
      </w:pPr>
    </w:p>
    <w:p>
      <w:pPr>
        <w:ind w:left="920" w:right="220" w:hanging="453"/>
        <w:spacing w:after="0" w:line="307" w:lineRule="auto"/>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Phase 2b, six-week, randomized, double-blind, placebo-controlled, parallel-group, multi-center study of 120 adult ADHD subjects, in which ADHD subjects were randomly assigned in a 1:1 ratio to one of two treatment groups: a 1,400mg dose of MDX and a matching placebo;</w:t>
      </w:r>
    </w:p>
    <w:p>
      <w:pPr>
        <w:spacing w:after="0" w:line="123" w:lineRule="exact"/>
        <w:rPr>
          <w:rFonts w:ascii="Arial" w:cs="Arial" w:eastAsia="Arial" w:hAnsi="Arial"/>
          <w:sz w:val="16"/>
          <w:szCs w:val="16"/>
          <w:color w:val="auto"/>
        </w:rPr>
      </w:pPr>
    </w:p>
    <w:p>
      <w:pPr>
        <w:ind w:left="920" w:right="420" w:hanging="453"/>
        <w:spacing w:after="0" w:line="246"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Phase 2b randomized, double-blind, placebo-controlled, cross-over single center study conducted in 36 adult subjects with predominantly inattentive ADHD (PI-ADHD) with 1400 mg MDX, 700 mg MDX and matching placebo;</w:t>
      </w:r>
    </w:p>
    <w:p>
      <w:pPr>
        <w:spacing w:after="0" w:line="169" w:lineRule="exact"/>
        <w:rPr>
          <w:rFonts w:ascii="Arial" w:cs="Arial" w:eastAsia="Arial" w:hAnsi="Arial"/>
          <w:sz w:val="18"/>
          <w:szCs w:val="18"/>
          <w:color w:val="auto"/>
        </w:rPr>
      </w:pPr>
    </w:p>
    <w:p>
      <w:pPr>
        <w:ind w:left="920" w:hanging="453"/>
        <w:spacing w:after="0"/>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Phase 2b randomized, double-blind, placebo-controlled, parallel-group, multi-center study conducted in 83 adolescents with PI-ADHD; and</w:t>
      </w:r>
    </w:p>
    <w:p>
      <w:pPr>
        <w:spacing w:after="0" w:line="221" w:lineRule="exact"/>
        <w:rPr>
          <w:rFonts w:ascii="Arial" w:cs="Arial" w:eastAsia="Arial" w:hAnsi="Arial"/>
          <w:sz w:val="16"/>
          <w:szCs w:val="16"/>
          <w:color w:val="auto"/>
        </w:rPr>
      </w:pPr>
    </w:p>
    <w:p>
      <w:pPr>
        <w:ind w:left="920" w:right="360" w:hanging="453"/>
        <w:spacing w:after="0" w:line="307" w:lineRule="auto"/>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Phase 3, six-week, randomized, double-blind, placebo-controlled, parallel-group, multi-center study of 300 adult ADHD subjects, in which ADHD subjects were randomly assigned in a 1:1 ratio to one of two treatment groups: a 1,400mg dose of MDX and a matching placebo.</w:t>
      </w:r>
    </w:p>
    <w:p>
      <w:pPr>
        <w:spacing w:after="0" w:line="137"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In addition, we have an ongoing Phase 3, ten-week, randomized, double-blind, placebo-controlled, parallel-group, multi-center study of 750 adult ADHD subjects, in which ADHD subjects are randomly assigned in a 1:1 ratio to one of two treatment groups: a 1,400mg dose of MDX and a matching placebo.</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Summary of Phase 2a Clinical Studies in Adults</w:t>
      </w:r>
    </w:p>
    <w:p>
      <w:pPr>
        <w:spacing w:after="0" w:line="225" w:lineRule="exact"/>
        <w:rPr>
          <w:sz w:val="20"/>
          <w:szCs w:val="20"/>
          <w:color w:val="auto"/>
        </w:rPr>
      </w:pPr>
    </w:p>
    <w:p>
      <w:pPr>
        <w:ind w:firstLine="383"/>
        <w:spacing w:after="0" w:line="302" w:lineRule="auto"/>
        <w:rPr>
          <w:sz w:val="20"/>
          <w:szCs w:val="20"/>
          <w:color w:val="auto"/>
        </w:rPr>
      </w:pPr>
      <w:r>
        <w:rPr>
          <w:rFonts w:ascii="Arial" w:cs="Arial" w:eastAsia="Arial" w:hAnsi="Arial"/>
          <w:sz w:val="16"/>
          <w:szCs w:val="16"/>
          <w:color w:val="auto"/>
        </w:rPr>
        <w:t>The Phase 2a study was designed to evaluate the effect of a single oral administration of MDX on cognitive function in subjects ranging from ages 18-45 who had been diagnosed as having ADHD. The study was performed at the ADHD unit of the Geha Mental Health Hospital (Israel). The primary outcome measures in the trial were the one-hour post-medication TOVA ADHD Score, and various TOVA subscores, Secondary outcome measures were subtests from the Wechsler Adult Intelligence Scale-Revised (WAIS-R test). The WAIS is a battery of tests designed to measure intelligence in adolescents and adults.</w:t>
      </w:r>
    </w:p>
    <w:p>
      <w:pPr>
        <w:spacing w:after="0" w:line="154" w:lineRule="exact"/>
        <w:rPr>
          <w:sz w:val="20"/>
          <w:szCs w:val="20"/>
          <w:color w:val="auto"/>
        </w:rPr>
      </w:pPr>
    </w:p>
    <w:p>
      <w:pPr>
        <w:ind w:right="20" w:firstLine="383"/>
        <w:spacing w:after="0" w:line="264" w:lineRule="auto"/>
        <w:rPr>
          <w:sz w:val="20"/>
          <w:szCs w:val="20"/>
          <w:color w:val="auto"/>
        </w:rPr>
      </w:pPr>
      <w:r>
        <w:rPr>
          <w:rFonts w:ascii="Arial" w:cs="Arial" w:eastAsia="Arial" w:hAnsi="Arial"/>
          <w:sz w:val="18"/>
          <w:szCs w:val="18"/>
          <w:color w:val="auto"/>
        </w:rPr>
        <w:t>Results of this clinical study showed clinically and statistically significant improvement (P-value &lt; 0.05) in all the TOVA parameters that were abnormal at baseline. “P-value” is a statistical measure for the probability of an error. In clinical investigations, p&lt;0.05 (meaning that the probability of an error in the outcome is small and less than 5%) is considered a statistically significant finding.</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right="140" w:firstLine="405"/>
        <w:spacing w:after="0" w:line="264" w:lineRule="auto"/>
        <w:rPr>
          <w:sz w:val="20"/>
          <w:szCs w:val="20"/>
          <w:color w:val="auto"/>
        </w:rPr>
      </w:pPr>
      <w:r>
        <w:rPr>
          <w:rFonts w:ascii="Arial" w:cs="Arial" w:eastAsia="Arial" w:hAnsi="Arial"/>
          <w:sz w:val="18"/>
          <w:szCs w:val="18"/>
          <w:color w:val="auto"/>
        </w:rPr>
        <w:t>Furthermore, results of the Wechsler subtests confirmed the ability of MDX to improve cognitive functions in adults with ADHD, with clinical and statistically significant improvement seen in both working memory and spatial memory tests. A significant correlation was found between the drug response measured by the TOVA and the response measured by the WAIS-R subtests.</w:t>
      </w:r>
    </w:p>
    <w:p>
      <w:pPr>
        <w:spacing w:after="0" w:line="181"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In an extension study to evaluate the duration of drug benefits, 10 subjects were evaluated using TOVA immediately before, and 90 minutes, 4 hours and 7 hours after, taking a single 1400mg dose of MDX. Results demonstrated an extended effect of the drug on cognitive functions.</w:t>
      </w:r>
    </w:p>
    <w:p>
      <w:pPr>
        <w:spacing w:after="0" w:line="14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In another extension study designed to evaluate the relative efficacy of various MDX doses, 10 subjects were evaluated using TOVA 90 minutes after blindly taking either 700mg, 1400mg or 2100mg doses of MDX on separate occasions and in a random visit order. TOVA results following these treatments were compared to the baseline data obtained before any treatment in these subjects. Results confirmed the likely effective dose range for MDX to be 700-1400mg, demonstrating that the 1400 mg dose had the greatest magnitude of effect.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Summary of First Phase 2b Clinical Study in Adults</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completed a six-week randomized, double-blind, placebo-controlled, parallel-group, multi-center Phase 2b study in 120 adult subjects with ADHD that was performed in two centers in Israel: the ADHD unit at Geha Mental Health Hospital and the Cognitive Neurology unit at Rambam Healthcare Campus.</w:t>
      </w:r>
    </w:p>
    <w:p>
      <w:pPr>
        <w:spacing w:after="0" w:line="181"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ADHD subjects were randomly assigned in a 1:1 ratio to one of two treatment groups: 1400mg MDX or matching placebo. The primary efficacy measure was CAARS questionnaire, and the secondary efficacy measures were the TOVA test and the Adult ADHD Quality of Life (AAQoL) questionnaire.</w:t>
      </w:r>
    </w:p>
    <w:p>
      <w:pPr>
        <w:spacing w:after="0" w:line="12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Significant improvements in CAARS scores (p&lt;0.02), TOVA ADHD scores (p&lt;0.02) and AAQoL scores (p&lt;0.01) were observed in the MDX treated group versus the placebo group. Improvements in CAARS and TOVA scores were statistically significant over the placebo after as little as two weeks of treatment.</w:t>
      </w:r>
    </w:p>
    <w:p>
      <w:pPr>
        <w:spacing w:after="0" w:line="18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Physical examination, laboratory parameters, vital signs, and electrocardiograms showed no consistent differences between treatment groups or cumulative changes over time. The most commonly reported adverse events were nausea, fatigue and headache. Nausea was the only adverse event to occur exclusively in the MDX group and should be considered an anticipated event in future MDX research; fatigue occurred in similar numbers in both groups, and headache occurred notably less frequently in the MDX group.</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Summary of Second Phase 2b Clinical Study in Adults</w:t>
      </w:r>
    </w:p>
    <w:p>
      <w:pPr>
        <w:spacing w:after="0" w:line="225"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We completed an additional Phase 2b, randomized, double-blind, placebo-controlled, crossover comparison, single-center study in 36 adult subjects with Predominantly Inattentive ADHD (PI-ADHD). The study was designed to compare the efficacy, safety and tolerability of two doses of MDX, 1400 mg and 700 mg, and placebo for the treatment of symptoms in adults diagnosed with PI-ADHD. The primary efficacy endpoint of the study was met, as demonstrated by a significant difference between the change in TOVA ADHD score following single-dose administration of 1400 mg MDX versus Placebo (mean change 6.5 vs. 4.4 points, p=0.0084). The difference between the change in ADHD score following administration of 700 mg MDX and Placebo was not statistically significant. A significant difference was observed between the change in TOVA ADHD score between the 700 mg MDX and 1400 mg MDX. Both doses of MDX were associated with a favorable safety profile, particularly in comparison to no treatment (Pre-dose) and Placebo, per adverse event, laboratory (hematology, biochemistry, urinalysis), vital sign, electrocardiography, and physical and neurological evaluations.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Summary of Phase 2 Clinical Study in Adolescents</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completed a Phase 2 multi-center, randomized, double-blind, fixed dose study in 83 adolescents (aged 13-17) with PI-ADHD. The study was conducted in six sites in Israel. The study achieved its primary endpoint and demonstrated good tolerability and no safety concerns. The most common side effects were headache (8% in MDX, 12% in placebo), nausea (3% in MDX, 5% in placebo) and fatigue (3% in MDX, 5% in placebo). No clinically significant safety findings in laboratory values, vital sign measurements, ECG parameters, cardiovascular parameters or findings during clinical examination were observed. Analyses of secondary cognitive measures, after a single administration of MDX compared to placebo, did not produce statistically significant findings, yet resulted in an efficacy signal on the TOVA assessments Response Time and Errors of Omission.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Summary of First Phase 3 Clinical Study in Adults</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completed a Phase 3, 6-week, multicenter, randomized, double-blind, parallel-group, fixed-dose study of MDX 1400 mg once daily compared with placebo in 300 adults with ADHD. The study was conducted at 18 sites in the United States and 2 sites in Israel. The study was designed to evaluate the efficacy of MDX 1400 mg daily compared with placebo in the treatment of ADHD in adults as measured by the CAARS questionnaire. The primary endpoint of change from Baseline in CAARS over Weeks one through six using the MMRM analysis did not reach statistical significance with MG01CI 1400 mg versus placebo for the Intend To Treat (ITT) Population (n=297; p=0.1358).</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firstLine="405"/>
        <w:spacing w:after="0" w:line="270" w:lineRule="auto"/>
        <w:rPr>
          <w:sz w:val="20"/>
          <w:szCs w:val="20"/>
          <w:color w:val="auto"/>
        </w:rPr>
      </w:pPr>
      <w:r>
        <w:rPr>
          <w:rFonts w:ascii="Arial" w:cs="Arial" w:eastAsia="Arial" w:hAnsi="Arial"/>
          <w:sz w:val="17"/>
          <w:szCs w:val="17"/>
          <w:color w:val="auto"/>
        </w:rPr>
        <w:t>Several statistical analyses, some defined before the trial was completed (pre-specified), and some designed after trial completion (post-hoc) identified the placebo response in this trial to be of an unusual and extreme magnitude and variability as compared to past adult ADHD trials with MDX or other approved ADHD drugs. In one such pre-specified analysis, a pre-defined criteria for identifying extreme and unexpected clinical response was applied to all trial subjects (regardless of whether treated by placebo or MDX). This analysis identified two patients who reported such extreme responses, both of whom were assigned to placebo. When data from these two patients were excluded, in accordance with the pre-specified Statistical Analysis Plan (SAP), the analysis of the primary outcome showed a near-significant trend in favor of MDX, but still did not reach statistical significance (n=295; p=.0606). The change to a near significant level demonstrates the unusual impact of only two extreme patient responses on the overall placebo response. Analysis of other assessments used in the trial such as the Clinical Global Impression-Severity (CGI-S) scores, Clinical Global Impression – Improvement (CGI-I) scores, and others showed similar near-significant or significant outcomes.</w:t>
      </w:r>
    </w:p>
    <w:p>
      <w:pPr>
        <w:spacing w:after="0" w:line="18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Treatment with MDX was well tolerated. The most common adverse events were headache (15.1% in MDX, 12.3% in placebo), nausea (8.6% in MDX, 6.2% in placebo), and fatigue (7.2% in MDX, 8.2% in placebo). No drug-related serious adverse events were reported. No clinically significant abnormalities in any laboratory measurements, vital sign measurements, ECG parameters, suicidality questionnaires, or findings during clinical examination, including neurological examination, were observed.</w:t>
      </w:r>
    </w:p>
    <w:p>
      <w:pPr>
        <w:spacing w:after="0" w:line="18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Primary Efficacy Analysis Results</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CAARS Score: ITT (N=297)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133350</wp:posOffset>
            </wp:positionV>
            <wp:extent cx="5746115" cy="3190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46115"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Clinical Data in ADHD and Key Conclusions</w:t>
      </w:r>
    </w:p>
    <w:p>
      <w:pPr>
        <w:spacing w:after="0" w:line="22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have conducted three clinical efficacy studies in adults with ADHD and one clinical efficacy study in adolescents with PI-ADHD using MDX. Doses of MDX tested in the studies ranged from 700 mg to 2100 mg MDX, and safety and efficacy have been examined after both single and repeated administrations. After a single dose of 1400 mg MDX, an immediate response and clinically meaningful improvement in performance (as reflected by TOVA and WAIS-R scores) was seen, with improvements in response time and response time variability scores up to 7 hours post-dose. Administration of a single 1400 mg dose of MDX resulted in similar changes in the TOVA. A comparison of the effect of single doses of 700 mg, 1400 mg, and 2100 mg MDX indicated the possible superiority of the 1400 mg dose. When this dose of MDX was administered over a six-week period in adults with ADHD, there was a significant improvement in ADHD symptoms and subjects’ quality of life responses compared with placebo.</w:t>
      </w:r>
    </w:p>
    <w:p>
      <w:pPr>
        <w:spacing w:after="0" w:line="178"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In our first Phase 3 efficacy study of MDX in adults with ADHD, only a non-statistically significant trend favoring MDX was observed. Rigorous statistical analyses demonstrated an unusually high placebo response and variability in this trial, mostly due to two patients who were assigned to placebo and reported unusually and unreasonably high clinical responses. Multiple analyses of the primary and secondary endpoints provided supportive evidence of a signal of efficacy of MDX over placebo. Appropriate measures to better control placebo response in future trials of MDX are being evaluated.</w:t>
      </w: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right="20" w:firstLine="405"/>
        <w:spacing w:after="0" w:line="268" w:lineRule="auto"/>
        <w:rPr>
          <w:sz w:val="20"/>
          <w:szCs w:val="20"/>
          <w:color w:val="auto"/>
        </w:rPr>
      </w:pPr>
      <w:r>
        <w:rPr>
          <w:rFonts w:ascii="Arial" w:cs="Arial" w:eastAsia="Arial" w:hAnsi="Arial"/>
          <w:sz w:val="17"/>
          <w:szCs w:val="17"/>
          <w:color w:val="auto"/>
        </w:rPr>
        <w:t>In all studies, MDX was well tolerated. The most commonly reported adverse events in the various clinical studies were nausea, fatigue and headache. In the first Phase 2b study described above, transient moderate nausea, lasting from one to two days, was the only adverse event to occur exclusively in the MDX group, with an incidence of approximately 17%; fatigue was largely the same in the control groups (27%) and the MDX groups (31%), and headache occurred notably less frequently in the MDX group, in about 29% of the subjects, as compared with 38% of the subjects in the placebo group. In the second phase 2b study described above, the most common adverse events reported during the treatment period were fatigue and headache. There were no serious or severe adverse events in these three clinical trials, and no clinically significant treatment-related abnormalities in vital signs, electrocardiograms (ECG), physical examination, and clinical labs (hematology, chemistry, and urinalysis). In the Phase 3 study, the most common adverse events were headache (15.1% in MDX, 12.3% in placebo), nausea (8.6% in MDX, 6.2% in placebo), and fatigue (7.2% in MDX, 8.2% in placebo). No drug-related serious adverse events were reported. No clinically significant abnormalities in laboratory values, vital sign measurements, ECG parameters, suicidality questionnaires, or findings during clinical examination, including neurological examination, were observed. In the phase 2 study of adolescents with PI-ADHD, the most common side effects were headache (8% in MDX, 12% in placebo), nausea (3% in MDX, 5% in placebo) and fatigue (3% in MDX, 5% in placebo). No clinically significant safety findings in laboratory values, vital sign measurements, ECG parameters, cardiovascular parameters or findings during clinical examination were observed.</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products containing metadoxine outside the United States cite infrequent diarrhea and moderate skin rash.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Ongoing and Planned Clinical Studies in ADHD</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initiated a second Phase 3 clinical trial in the United States for the use of MDX to treat ADHD in adults. The design of this trial incorporates lessons learned from the first Phase 3 study, such as improved powering assumptions, duration of treatment, frequency and duration of trial visits, and site and patient selection and enrichment methods. Many of these design elements are targeted at achieving a more acceptable group placebo response and specifically excluding patients with extreme and unreasonable clinical response to placebo treatment.</w:t>
      </w:r>
    </w:p>
    <w:p>
      <w:pPr>
        <w:spacing w:after="0" w:line="18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We plan to initiate in 2016 the first of two registration studies in the United States for the use of MDX to treat ADHD in pediatrics. The trial will include similar design and monitoring elements to our ongoing Phase 3 trial in adult ADHD to potentially mitigate the placebo effect and reduce variability.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Fragile X</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Description of Fragile X</w:t>
      </w:r>
    </w:p>
    <w:p>
      <w:pPr>
        <w:spacing w:after="0" w:line="229" w:lineRule="exact"/>
        <w:rPr>
          <w:sz w:val="20"/>
          <w:szCs w:val="20"/>
          <w:color w:val="auto"/>
        </w:rPr>
      </w:pPr>
    </w:p>
    <w:p>
      <w:pPr>
        <w:ind w:right="60" w:firstLine="383"/>
        <w:spacing w:after="0" w:line="257" w:lineRule="auto"/>
        <w:rPr>
          <w:sz w:val="20"/>
          <w:szCs w:val="20"/>
          <w:color w:val="auto"/>
        </w:rPr>
      </w:pPr>
      <w:r>
        <w:rPr>
          <w:rFonts w:ascii="Arial" w:cs="Arial" w:eastAsia="Arial" w:hAnsi="Arial"/>
          <w:sz w:val="18"/>
          <w:szCs w:val="18"/>
          <w:color w:val="auto"/>
        </w:rPr>
        <w:t>Fragile X is a genetic disorder that is characterized by a high number (&gt;200) of repeated DNA base sequences (called CGG repeats) in the X chromosome. Fragile X is diagnosed by a blood test that measures the amount of CGG repeats. These repeated sequences are associated with a change in the amount of Fragile X Mental retardation protein, or FMRP, produced by the cell. A greater reduction in FMRP is associated with more severe physical symptoms and intellectual disability. Through the regulation of protein levels in nerve cells in the brain, FMRP is thought to be involved with brain pathways that undergo change to facilitate learning and memory.</w:t>
      </w:r>
    </w:p>
    <w:p>
      <w:pPr>
        <w:spacing w:after="0" w:line="188" w:lineRule="exact"/>
        <w:rPr>
          <w:sz w:val="20"/>
          <w:szCs w:val="20"/>
          <w:color w:val="auto"/>
        </w:rPr>
      </w:pPr>
    </w:p>
    <w:p>
      <w:pPr>
        <w:ind w:firstLine="383"/>
        <w:spacing w:after="0" w:line="279" w:lineRule="auto"/>
        <w:rPr>
          <w:sz w:val="20"/>
          <w:szCs w:val="20"/>
          <w:color w:val="auto"/>
        </w:rPr>
      </w:pPr>
      <w:r>
        <w:rPr>
          <w:rFonts w:ascii="Arial" w:cs="Arial" w:eastAsia="Arial" w:hAnsi="Arial"/>
          <w:sz w:val="17"/>
          <w:szCs w:val="17"/>
          <w:color w:val="auto"/>
        </w:rPr>
        <w:t xml:space="preserve">Fragile X is the most common single gene cause of intellectual disability and autism and an unmet medical need exists with no approved drugs for the treatment of Fragile X. Fragile X is named for the broken microscopic appearance of the X chromosome, one of the sex-linked chromosomes, that is observed in people with the syndrome. Fragile X affects all ethnic groups worldwide, with the full mutation expansions in </w:t>
      </w:r>
      <w:r>
        <w:rPr>
          <w:rFonts w:ascii="Arial" w:cs="Arial" w:eastAsia="Arial" w:hAnsi="Arial"/>
          <w:sz w:val="17"/>
          <w:szCs w:val="17"/>
          <w:i w:val="1"/>
          <w:iCs w:val="1"/>
          <w:color w:val="auto"/>
        </w:rPr>
        <w:t>FMR1</w:t>
      </w:r>
      <w:r>
        <w:rPr>
          <w:rFonts w:ascii="Arial" w:cs="Arial" w:eastAsia="Arial" w:hAnsi="Arial"/>
          <w:sz w:val="17"/>
          <w:szCs w:val="17"/>
          <w:color w:val="auto"/>
        </w:rPr>
        <w:t xml:space="preserve"> (≥200 CGG repeats) occurring at an estimated frequency of 1:3600 males and 1:4000 to 6000 females. Fragile X is a rare disease, as defined by the Orphan Drug Act.</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Fragile X Symptoms</w:t>
      </w:r>
    </w:p>
    <w:p>
      <w:pPr>
        <w:spacing w:after="0" w:line="229" w:lineRule="exact"/>
        <w:rPr>
          <w:sz w:val="20"/>
          <w:szCs w:val="20"/>
          <w:color w:val="auto"/>
        </w:rPr>
      </w:pPr>
    </w:p>
    <w:p>
      <w:pPr>
        <w:ind w:right="20" w:firstLine="383"/>
        <w:spacing w:after="0" w:line="257" w:lineRule="auto"/>
        <w:rPr>
          <w:sz w:val="20"/>
          <w:szCs w:val="20"/>
          <w:color w:val="auto"/>
        </w:rPr>
      </w:pPr>
      <w:r>
        <w:rPr>
          <w:rFonts w:ascii="Arial" w:cs="Arial" w:eastAsia="Arial" w:hAnsi="Arial"/>
          <w:sz w:val="18"/>
          <w:szCs w:val="18"/>
          <w:color w:val="auto"/>
        </w:rPr>
        <w:t>Not every individual with the Fragile X mutation will show signs or symptoms of Fragile X, and disabilities will range from mild to severe. In males, Fragile X is associated with moderate to severe intellectual disability. About 25% of females with Fragile X will have intellectual disability, and most females with Fragile X will have a learning disability. Since females with Fragile X have one normal X chromosome and one chromosome with Fragile X, and either of the two X chromosomes is active in a given cell, females tend to have milder symptoms than males. Both males and females with Fragile X may show delay in acquiring language skills early in their life.</w:t>
      </w:r>
    </w:p>
    <w:p>
      <w:pPr>
        <w:spacing w:after="0" w:line="188" w:lineRule="exact"/>
        <w:rPr>
          <w:sz w:val="20"/>
          <w:szCs w:val="20"/>
          <w:color w:val="auto"/>
        </w:rPr>
      </w:pPr>
    </w:p>
    <w:p>
      <w:pPr>
        <w:jc w:val="both"/>
        <w:ind w:right="160" w:firstLine="383"/>
        <w:spacing w:after="0" w:line="302" w:lineRule="auto"/>
        <w:rPr>
          <w:sz w:val="20"/>
          <w:szCs w:val="20"/>
          <w:color w:val="auto"/>
        </w:rPr>
      </w:pPr>
      <w:r>
        <w:rPr>
          <w:rFonts w:ascii="Arial" w:cs="Arial" w:eastAsia="Arial" w:hAnsi="Arial"/>
          <w:sz w:val="16"/>
          <w:szCs w:val="16"/>
          <w:color w:val="auto"/>
        </w:rPr>
        <w:t>Individuals with Fragile X often have a number of behavioral symptoms, including inattention, hyperactivity, impulsivity, autistic symptoms, shyness, aggression, social anxiety, hand flapping, hand biting, and high sensitivity to being touched. Autism spectrum disorder (ASD) is seen in approximately 30% of males and 20% of females with Fragile X, and an additional 30% of Fragile X individuals display autistic symptoms without having the ASD diagnosis. ADHD is commonly diagnosed in Fragile X, and has been reported to occur in approximately 60-75% of males with Fragile X.</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Treatment Options for Fragile X</w:t>
      </w:r>
    </w:p>
    <w:p>
      <w:pPr>
        <w:spacing w:after="0" w:line="229" w:lineRule="exact"/>
        <w:rPr>
          <w:sz w:val="20"/>
          <w:szCs w:val="20"/>
          <w:color w:val="auto"/>
        </w:rPr>
      </w:pPr>
    </w:p>
    <w:p>
      <w:pPr>
        <w:ind w:right="40" w:firstLine="383"/>
        <w:spacing w:after="0" w:line="257" w:lineRule="auto"/>
        <w:rPr>
          <w:sz w:val="20"/>
          <w:szCs w:val="20"/>
          <w:color w:val="auto"/>
        </w:rPr>
      </w:pPr>
      <w:r>
        <w:rPr>
          <w:rFonts w:ascii="Arial" w:cs="Arial" w:eastAsia="Arial" w:hAnsi="Arial"/>
          <w:sz w:val="18"/>
          <w:szCs w:val="18"/>
          <w:color w:val="auto"/>
        </w:rPr>
        <w:t>The FDA has not approved any drugs specifically for the treatment of Fragile X or its symptoms. Individuals with Fragile X are treated based upon their symptoms. If the individual has ADHD or ADHD symptoms, the individual might be treated with ADHD medications, such as stimulants, atomoxetine and alpha-2 agonists (guanfacine or clonidine). If there are symptoms of aggression or irritability, the individual might be treated with antipsychotic medications. Anxiety symptoms might be treated with anti-anxiety drugs such as selective serotonin reuptake inhibitors (SSRIs). If there are seizures, the individual might be treated with anti-convulsant drugs.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Data from Pre-clinical Studies of metadoxine in Fragile X</w:t>
      </w:r>
    </w:p>
    <w:p>
      <w:pPr>
        <w:spacing w:after="0" w:line="229" w:lineRule="exact"/>
        <w:rPr>
          <w:sz w:val="20"/>
          <w:szCs w:val="20"/>
          <w:color w:val="auto"/>
        </w:rPr>
      </w:pPr>
    </w:p>
    <w:p>
      <w:pPr>
        <w:ind w:right="140" w:firstLine="389"/>
        <w:spacing w:after="0" w:line="312" w:lineRule="auto"/>
        <w:rPr>
          <w:sz w:val="20"/>
          <w:szCs w:val="20"/>
          <w:color w:val="auto"/>
        </w:rPr>
      </w:pPr>
      <w:r>
        <w:rPr>
          <w:rFonts w:ascii="Arial" w:cs="Arial" w:eastAsia="Arial" w:hAnsi="Arial"/>
          <w:sz w:val="16"/>
          <w:szCs w:val="16"/>
          <w:color w:val="auto"/>
        </w:rPr>
        <w:t>We have reported a series of positive findings from pre-clinical studies with a mouse model of Fragile X (</w:t>
      </w:r>
      <w:r>
        <w:rPr>
          <w:rFonts w:ascii="Arial" w:cs="Arial" w:eastAsia="Arial" w:hAnsi="Arial"/>
          <w:sz w:val="16"/>
          <w:szCs w:val="16"/>
          <w:i w:val="1"/>
          <w:iCs w:val="1"/>
          <w:color w:val="auto"/>
        </w:rPr>
        <w:t>Fmr1</w:t>
      </w:r>
      <w:r>
        <w:rPr>
          <w:rFonts w:ascii="Arial" w:cs="Arial" w:eastAsia="Arial" w:hAnsi="Arial"/>
          <w:sz w:val="16"/>
          <w:szCs w:val="16"/>
          <w:color w:val="auto"/>
        </w:rPr>
        <w:t xml:space="preserve"> knock-out mice). The </w:t>
      </w:r>
      <w:r>
        <w:rPr>
          <w:rFonts w:ascii="Arial" w:cs="Arial" w:eastAsia="Arial" w:hAnsi="Arial"/>
          <w:sz w:val="16"/>
          <w:szCs w:val="16"/>
          <w:i w:val="1"/>
          <w:iCs w:val="1"/>
          <w:color w:val="auto"/>
        </w:rPr>
        <w:t>Fmr1</w:t>
      </w:r>
      <w:r>
        <w:rPr>
          <w:rFonts w:ascii="Arial" w:cs="Arial" w:eastAsia="Arial" w:hAnsi="Arial"/>
          <w:sz w:val="16"/>
          <w:szCs w:val="16"/>
          <w:color w:val="auto"/>
        </w:rPr>
        <w:t xml:space="preserve"> KO mouse model is a validated model of Fragile X, as mice with a missing Fragile X gene demonstrate hyperactivity, susceptibility to seizures, enlarged testicles, learning and memory and social interaction impairments and abnormal brain connections, similar findings to those of individuals with Fragile X.</w:t>
      </w:r>
    </w:p>
    <w:p>
      <w:pPr>
        <w:spacing w:after="0" w:line="147" w:lineRule="exact"/>
        <w:rPr>
          <w:sz w:val="20"/>
          <w:szCs w:val="20"/>
          <w:color w:val="auto"/>
        </w:rPr>
      </w:pPr>
    </w:p>
    <w:p>
      <w:pPr>
        <w:ind w:right="160" w:firstLine="389"/>
        <w:spacing w:after="0" w:line="273" w:lineRule="auto"/>
        <w:rPr>
          <w:sz w:val="20"/>
          <w:szCs w:val="20"/>
          <w:color w:val="auto"/>
        </w:rPr>
      </w:pPr>
      <w:r>
        <w:rPr>
          <w:rFonts w:ascii="Arial" w:cs="Arial" w:eastAsia="Arial" w:hAnsi="Arial"/>
          <w:sz w:val="17"/>
          <w:szCs w:val="17"/>
          <w:color w:val="auto"/>
        </w:rPr>
        <w:t xml:space="preserve">Metadoxine treatment rescued behavioral impairments of learning, memory, and social interaction in both adult (six-month-old) and juvenile (two-month-old) </w:t>
      </w:r>
      <w:r>
        <w:rPr>
          <w:rFonts w:ascii="Arial" w:cs="Arial" w:eastAsia="Arial" w:hAnsi="Arial"/>
          <w:sz w:val="17"/>
          <w:szCs w:val="17"/>
          <w:i w:val="1"/>
          <w:iCs w:val="1"/>
          <w:color w:val="auto"/>
        </w:rPr>
        <w:t>Fmr1</w:t>
      </w:r>
      <w:r>
        <w:rPr>
          <w:rFonts w:ascii="Arial" w:cs="Arial" w:eastAsia="Arial" w:hAnsi="Arial"/>
          <w:sz w:val="17"/>
          <w:szCs w:val="17"/>
          <w:color w:val="auto"/>
        </w:rPr>
        <w:t xml:space="preserve"> KO mice, indicating that behavioral effects of metadoxine are independent of age. These behavioral findings are consistent with results of clinical trials of MDX in human adults with ADHD that demonstrated statistically significant improvements in several neuropsychological measures of selective and sustained attention after MDX treatment. Metadoxine-treated </w:t>
      </w:r>
      <w:r>
        <w:rPr>
          <w:rFonts w:ascii="Arial" w:cs="Arial" w:eastAsia="Arial" w:hAnsi="Arial"/>
          <w:sz w:val="17"/>
          <w:szCs w:val="17"/>
          <w:i w:val="1"/>
          <w:iCs w:val="1"/>
          <w:color w:val="auto"/>
        </w:rPr>
        <w:t>Fmr1</w:t>
      </w:r>
      <w:r>
        <w:rPr>
          <w:rFonts w:ascii="Arial" w:cs="Arial" w:eastAsia="Arial" w:hAnsi="Arial"/>
          <w:sz w:val="17"/>
          <w:szCs w:val="17"/>
          <w:color w:val="auto"/>
        </w:rPr>
        <w:t xml:space="preserve"> KO mice (two-month-old and six-month-old) showed significant improvements in behavioral outcomes, including contextual fear conditioning (a test used to examine learning and working memory), social recognition and social memory and T-maze learning task (assessing spatial working memory skills), compared with vehicle-treated </w:t>
      </w:r>
      <w:r>
        <w:rPr>
          <w:rFonts w:ascii="Arial" w:cs="Arial" w:eastAsia="Arial" w:hAnsi="Arial"/>
          <w:sz w:val="17"/>
          <w:szCs w:val="17"/>
          <w:i w:val="1"/>
          <w:iCs w:val="1"/>
          <w:color w:val="auto"/>
        </w:rPr>
        <w:t>Fmr1</w:t>
      </w:r>
      <w:r>
        <w:rPr>
          <w:rFonts w:ascii="Arial" w:cs="Arial" w:eastAsia="Arial" w:hAnsi="Arial"/>
          <w:sz w:val="17"/>
          <w:szCs w:val="17"/>
          <w:color w:val="auto"/>
        </w:rPr>
        <w:t xml:space="preserve"> KO mice.</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Phase 2 Clinical Trial</w:t>
      </w:r>
    </w:p>
    <w:p>
      <w:pPr>
        <w:spacing w:after="0" w:line="229" w:lineRule="exact"/>
        <w:rPr>
          <w:sz w:val="20"/>
          <w:szCs w:val="20"/>
          <w:color w:val="auto"/>
        </w:rPr>
      </w:pPr>
    </w:p>
    <w:p>
      <w:pPr>
        <w:ind w:firstLine="389"/>
        <w:spacing w:after="0" w:line="290" w:lineRule="auto"/>
        <w:rPr>
          <w:sz w:val="20"/>
          <w:szCs w:val="20"/>
          <w:color w:val="auto"/>
        </w:rPr>
      </w:pPr>
      <w:r>
        <w:rPr>
          <w:rFonts w:ascii="Arial" w:cs="Arial" w:eastAsia="Arial" w:hAnsi="Arial"/>
          <w:sz w:val="16"/>
          <w:szCs w:val="16"/>
          <w:color w:val="auto"/>
        </w:rPr>
        <w:t>We completed an exploratory, Phase 2, six-week, randomized, multicenter, placebo-controlled, double-blind, parallel group study of MDX once daily in 61 adolescents and adults with Fragile X. The study was conducted at 11 clinical sites in the United States and one clinical site in Israel. The primary endpoint was to show a reduction in the symptom score on the ADHD Rating Scale – Four (RS-IV) Inattentive subscale. The difference between the MDX-treated group and placebo was not statistically significant (p=0.21), favoring placebo. Related secondary endpoints such as the total ADHD Rating Scale (ADHD RS) score and CGI were similarly non-significant. The detection of a signal on this scale may have been obscured in this exploratory trial by the concomitant use of approved ADHD and other psychotropic medications by a majority of patients during the study and the imbalanced randomization of these patients, the limitations of the ADHD RS assessment in a population with highly variable and mostly abnormal intellectual capacity and developmental age, and the potential challenge in discerning changes in inattentive symptoms in this complex neurobehavioral disorder.</w:t>
      </w:r>
    </w:p>
    <w:p>
      <w:pPr>
        <w:spacing w:after="0" w:line="166" w:lineRule="exact"/>
        <w:rPr>
          <w:sz w:val="20"/>
          <w:szCs w:val="20"/>
          <w:color w:val="auto"/>
        </w:rPr>
      </w:pPr>
    </w:p>
    <w:p>
      <w:pPr>
        <w:ind w:right="20" w:firstLine="389"/>
        <w:spacing w:after="0" w:line="271" w:lineRule="auto"/>
        <w:rPr>
          <w:sz w:val="20"/>
          <w:szCs w:val="20"/>
          <w:color w:val="auto"/>
        </w:rPr>
      </w:pPr>
      <w:r>
        <w:rPr>
          <w:rFonts w:ascii="Arial" w:cs="Arial" w:eastAsia="Arial" w:hAnsi="Arial"/>
          <w:sz w:val="17"/>
          <w:szCs w:val="17"/>
          <w:color w:val="auto"/>
        </w:rPr>
        <w:t>Four measures, including the Vineland-II Adaptive Behavior Scale (Daily Living Skills and Socialization domains), the Aberrant Behavior Checklist (ABC), the Test of Attentional Performance for Children (KiTAP), and the Repeatable Battery for the Assessment of Neuropsychological Status List Learning test (RBANS-LL) were pre-specified as secondary outcomes in this trial. MDX showed a statistically significant benefit over placebo, in the intent to treat population, on the Vineland-II Daily Living Skills Domain (p=0.044) and on the computerized KiTAP Go/No Go (number of false responses) (p=0.043). These statistically significant findings also showed meaningful clinical effect sizes of 0.56 and 0.49, respectively (Cohen's d; standardized difference between two means). The Vineland-II Daily Living Skills assessment is a validated measure of adaptive behavior often used in FXS studies; it includes three subdomains which are assessed through a clinical interview with a caregiver: the personal subdomain; assessing basic functional skills such as eating, drinking, dressing or undressing, and maintaining personal hygiene, the domestic subdomain; assessing primarily household chores the individual can perform such as cooking, cleaning, putting things in place, and keeping themselves safe at home, and the community subdomain; assessing the subjects understanding and proper management of time, money, phone use, TV or computer use, travel, work skills and outdoor functions. The computerized KiTAP Go/No Go subtest directly examines the patient’s ability to inhibit a reaction to a non-target stimulus. The remaining secondary measures did not yield statistically significant findings in the intent to treat population, although directional benefits were noted on the RBANS-LL, a short-term verbal memory task, and the KiTAP Distractibility (response time) test, a computerized continuous performance test of attention assessing the ability to maintain attention in the presence of distractors.</w:t>
      </w:r>
    </w:p>
    <w:p>
      <w:pPr>
        <w:spacing w:after="0" w:line="178" w:lineRule="exact"/>
        <w:rPr>
          <w:sz w:val="20"/>
          <w:szCs w:val="20"/>
          <w:color w:val="auto"/>
        </w:rPr>
      </w:pPr>
    </w:p>
    <w:p>
      <w:pPr>
        <w:ind w:right="20" w:firstLine="389"/>
        <w:spacing w:after="0" w:line="259" w:lineRule="auto"/>
        <w:rPr>
          <w:sz w:val="20"/>
          <w:szCs w:val="20"/>
          <w:color w:val="auto"/>
        </w:rPr>
      </w:pPr>
      <w:r>
        <w:rPr>
          <w:rFonts w:ascii="Arial" w:cs="Arial" w:eastAsia="Arial" w:hAnsi="Arial"/>
          <w:sz w:val="18"/>
          <w:szCs w:val="18"/>
          <w:color w:val="auto"/>
        </w:rPr>
        <w:t>During the trial, MDX was generally well tolerated and no safety concerns were identified. The profile of adverse events in the MDX-treated group was similar to the placebo comparator group. The most common side effects were upper respiratory tract infection (6.7% in MDX, 15.6% in placebo), irritability (10.0% in MDX, 9.4% in placebo), and headache (10.0% in MDX, 3.1% in placebo). A single Serious Adverse Event of Bell's Palsy was recorded in the trial, and occurred in a placebo-treated patient.</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Planned Clinical Studies in Fragile X</w:t>
      </w:r>
    </w:p>
    <w:p>
      <w:pPr>
        <w:spacing w:after="0" w:line="225" w:lineRule="exact"/>
        <w:rPr>
          <w:sz w:val="20"/>
          <w:szCs w:val="20"/>
          <w:color w:val="auto"/>
        </w:rPr>
      </w:pPr>
    </w:p>
    <w:p>
      <w:pPr>
        <w:ind w:right="140" w:firstLine="389"/>
        <w:spacing w:after="0" w:line="288" w:lineRule="auto"/>
        <w:rPr>
          <w:sz w:val="20"/>
          <w:szCs w:val="20"/>
          <w:color w:val="auto"/>
        </w:rPr>
      </w:pPr>
      <w:r>
        <w:rPr>
          <w:rFonts w:ascii="Arial" w:cs="Arial" w:eastAsia="Arial" w:hAnsi="Arial"/>
          <w:sz w:val="16"/>
          <w:szCs w:val="16"/>
          <w:color w:val="auto"/>
        </w:rPr>
        <w:t>In October 2015, we met with the FDA to discuss the results of our Phase 2 study in Fragile X and the requirements for NDA submission of MDX in this therapeutic indication. The FDA concurred that results from a single short-term, adequate and well-controlled efficacy study in adolescents and adult patients with Fragile X may be sufficient to support a claim of efficacy for approval of MDX in this indication (in line with the FDA's Guidance for Industry</w:t>
      </w:r>
    </w:p>
    <w:p>
      <w:pPr>
        <w:ind w:right="120"/>
        <w:spacing w:after="0" w:line="254" w:lineRule="auto"/>
        <w:rPr>
          <w:sz w:val="20"/>
          <w:szCs w:val="20"/>
          <w:color w:val="auto"/>
        </w:rPr>
      </w:pPr>
      <w:r>
        <w:rPr>
          <w:rFonts w:ascii="Arial" w:cs="Arial" w:eastAsia="Arial" w:hAnsi="Arial"/>
          <w:sz w:val="18"/>
          <w:szCs w:val="18"/>
          <w:color w:val="auto"/>
        </w:rPr>
        <w:t>— Providing Evidence of Effectiveness for Human Drug and Biological Products, May 1998). We plan to submit a separate application for pediatric patients (ages 4-11) following FDA approval via a supplemental NDA. The FDA confirmed that the Vineland II Daily Living Skills Assessment could serve as the primary endpoint in the adolescents and adults Fragile X pivotal study. Following the meeting with the FDA, we are completing analyses and plans for a Phase 3 clinical study in adolescents and adult patients with Fragile X.</w:t>
      </w: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MDX Overview and Mechanism of Action</w:t>
      </w:r>
    </w:p>
    <w:p>
      <w:pPr>
        <w:spacing w:after="0" w:line="229" w:lineRule="exact"/>
        <w:rPr>
          <w:sz w:val="20"/>
          <w:szCs w:val="20"/>
          <w:color w:val="auto"/>
        </w:rPr>
      </w:pPr>
    </w:p>
    <w:p>
      <w:pPr>
        <w:ind w:right="20" w:firstLine="389"/>
        <w:spacing w:after="0" w:line="259" w:lineRule="auto"/>
        <w:rPr>
          <w:sz w:val="20"/>
          <w:szCs w:val="20"/>
          <w:color w:val="auto"/>
        </w:rPr>
      </w:pPr>
      <w:r>
        <w:rPr>
          <w:rFonts w:ascii="Arial" w:cs="Arial" w:eastAsia="Arial" w:hAnsi="Arial"/>
          <w:sz w:val="18"/>
          <w:szCs w:val="18"/>
          <w:color w:val="auto"/>
        </w:rPr>
        <w:t>MDX is a proprietary, combined rapid onset/extended release formulation of the chemical Pyridoxine Pyroglutamate, which is more commonly known as metadoxine. MDX consists of a single bi-layer oral tablet, which includes both a rapid onset release metadoxine formulation and a slow release metadoxine formulation together providing the desired dual release profile. The new extended-release formulation prolongs the human plasma levels of metadoxine for up to 12 hours, which results in enhanced efficacy benefits.</w:t>
      </w:r>
    </w:p>
    <w:p>
      <w:pPr>
        <w:spacing w:after="0" w:line="187" w:lineRule="exact"/>
        <w:rPr>
          <w:sz w:val="20"/>
          <w:szCs w:val="20"/>
          <w:color w:val="auto"/>
        </w:rPr>
      </w:pPr>
    </w:p>
    <w:p>
      <w:pPr>
        <w:ind w:right="140" w:firstLine="389"/>
        <w:spacing w:after="0" w:line="257" w:lineRule="auto"/>
        <w:rPr>
          <w:sz w:val="20"/>
          <w:szCs w:val="20"/>
          <w:color w:val="auto"/>
        </w:rPr>
      </w:pPr>
      <w:r>
        <w:rPr>
          <w:rFonts w:ascii="Arial" w:cs="Arial" w:eastAsia="Arial" w:hAnsi="Arial"/>
          <w:sz w:val="18"/>
          <w:szCs w:val="18"/>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issued patents and pending patent applications that may prevent the use of metadoxine by others to treat ADHD, Fragile X and other cognitive disorders.</w:t>
      </w:r>
    </w:p>
    <w:p>
      <w:pPr>
        <w:spacing w:after="0" w:line="188" w:lineRule="exact"/>
        <w:rPr>
          <w:sz w:val="20"/>
          <w:szCs w:val="20"/>
          <w:color w:val="auto"/>
        </w:rPr>
      </w:pPr>
    </w:p>
    <w:p>
      <w:pPr>
        <w:ind w:right="20" w:firstLine="389"/>
        <w:spacing w:after="0" w:line="285" w:lineRule="auto"/>
        <w:rPr>
          <w:sz w:val="20"/>
          <w:szCs w:val="20"/>
          <w:color w:val="auto"/>
        </w:rPr>
      </w:pPr>
      <w:r>
        <w:rPr>
          <w:rFonts w:ascii="Arial" w:cs="Arial" w:eastAsia="Arial" w:hAnsi="Arial"/>
          <w:sz w:val="16"/>
          <w:szCs w:val="16"/>
          <w:color w:val="auto"/>
        </w:rPr>
        <w:t>Normally, the levels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and reversed through enhancing the release, delivery and/or blocking the reuptake of neurotransmitters by their respective plasma transporters/receptors. All stimulants increase dopamine and norepinephrine levels. Atomoxetine (Strattera), the only non-stimulant approved for ADHD in adults, works through modulating norepinephrine. Our preclinical studies indicate that metadoxine exerts its effects through a monoamine-independent mechanism of action. A single oral administration of metadoxine was found to have no effect on dopamine, norepinephrine, or serotonin levels, as measured by dual-probe microdialysis in the frontal cortex and striatum of rats and also by in vivo proton magnetic resonance spectroscopy (1H-MRS) in the striatum of rats. In addition, and in contrast to approved ADHD pharmacotherapies, in vitro binding assays further detailed below revealed that metadoxine does not bind to any dopamine, norepinephrine, or serotonin transporters, or dopamine and norepinephrine receptors, while it binds significantly to the GABA transporter. Metadoxine was also found to have no effect on in vivo metabolites in the 1H-MRS imaging study mentioned above. Furthermore, metadoxine displays a dose-dependent, reversible reduction in the overall excitability and enhancement of GABAergic inhibitory transmission via presynaptic modulation in striatal medium spiny neurons, as measured by electrophysiologic recordings from mice corticostriatal slices. These findings were confirmed by pharmacologic magnetic resonance imaging (phMRI) of conscious rats demonstrating that single administration of metadoxine produced a significant decrease in blood-oxygen-level dependent (BOLD) signal (indicating reduced brain activity) in highly selective regions of the brain (including the prefrontal cortex, striatum, thalamus and cerebellum) related to executive function, learning and memory, motivation, information integration and processing, attention, and cognition. These neuronal circuits are known to be dysregulated in ADHD patients. In addition, none of the mesolimbic dopamine system brain regions (such as the nucleus accumbens), known to be involved in the reinforcing effects of stimulant medications, were significantly affected by metadoxine.</w:t>
      </w:r>
    </w:p>
    <w:p>
      <w:pPr>
        <w:spacing w:after="0" w:line="168" w:lineRule="exact"/>
        <w:rPr>
          <w:sz w:val="20"/>
          <w:szCs w:val="20"/>
          <w:color w:val="auto"/>
        </w:rPr>
      </w:pPr>
    </w:p>
    <w:p>
      <w:pPr>
        <w:ind w:firstLine="389"/>
        <w:spacing w:after="0" w:line="255" w:lineRule="auto"/>
        <w:rPr>
          <w:sz w:val="20"/>
          <w:szCs w:val="20"/>
          <w:color w:val="auto"/>
        </w:rPr>
      </w:pPr>
      <w:r>
        <w:rPr>
          <w:rFonts w:ascii="Arial" w:cs="Arial" w:eastAsia="Arial" w:hAnsi="Arial"/>
          <w:sz w:val="18"/>
          <w:szCs w:val="18"/>
          <w:color w:val="auto"/>
        </w:rPr>
        <w:t>Metadoxine was further tested in multiple animal abuse liability studies in order to assess its abuse potential. The self-administration, dependence/tolerance and drug discrimination studies revealed that (i) metadoxine does not serve as a positive reinforce in rats in comparison to methylphenidate, (ii) metadoxine does not produce either tolerance during prolonged administration nor a syndrome of behavioral and/or physical dependence on abrupt withdrawal in comparison to morphine and (ii) metadoxine does not generalize to d-amphetamine, indicating that it does not generate the stimulant discriminative effect evoked by amphetamine and methylphenidate. Altogether, these findings confirm and extend the phMRI data and further demonstrate that metadoxine is likely to be devoid of recreational abuse potential in humans.</w:t>
      </w:r>
    </w:p>
    <w:p>
      <w:pPr>
        <w:spacing w:after="0" w:line="193" w:lineRule="exact"/>
        <w:rPr>
          <w:sz w:val="20"/>
          <w:szCs w:val="20"/>
          <w:color w:val="auto"/>
        </w:rPr>
      </w:pPr>
    </w:p>
    <w:p>
      <w:pPr>
        <w:jc w:val="both"/>
        <w:ind w:right="260" w:firstLine="389"/>
        <w:spacing w:after="0" w:line="286" w:lineRule="auto"/>
        <w:rPr>
          <w:sz w:val="20"/>
          <w:szCs w:val="20"/>
          <w:color w:val="auto"/>
        </w:rPr>
      </w:pPr>
      <w:r>
        <w:rPr>
          <w:rFonts w:ascii="Arial" w:cs="Arial" w:eastAsia="Arial" w:hAnsi="Arial"/>
          <w:sz w:val="16"/>
          <w:szCs w:val="16"/>
          <w:color w:val="auto"/>
        </w:rPr>
        <w:t>The neural networks operating in the brain are directed by various receptors and associated signals. One way to affect these networks is to identify a drug that binds to a specific site and inhibits the action of a specific protein or signal. In further investigating the proposed mechanism of action for MDX, over 80 different cellular targets, such as receptors and transporters, were tested in the laboratory for binding with metadoxine. Binding of metadoxine was tested on targets that are part of the muscarinic, adrenergic, dopamine, serotonin, glutamate and GABA, noradrenaline, opioid and cannabinoid networks.</w:t>
      </w:r>
    </w:p>
    <w:p>
      <w:pPr>
        <w:spacing w:after="0" w:line="2" w:lineRule="exact"/>
        <w:rPr>
          <w:sz w:val="20"/>
          <w:szCs w:val="20"/>
          <w:color w:val="auto"/>
        </w:rPr>
      </w:pPr>
    </w:p>
    <w:p>
      <w:pPr>
        <w:ind w:right="20"/>
        <w:spacing w:after="0" w:line="198" w:lineRule="auto"/>
        <w:rPr>
          <w:sz w:val="20"/>
          <w:szCs w:val="20"/>
          <w:color w:val="auto"/>
        </w:rPr>
      </w:pPr>
      <w:r>
        <w:rPr>
          <w:rFonts w:ascii="Arial" w:cs="Arial" w:eastAsia="Arial" w:hAnsi="Arial"/>
          <w:sz w:val="18"/>
          <w:szCs w:val="18"/>
          <w:color w:val="auto"/>
        </w:rPr>
        <w:t xml:space="preserve">These networks each function to orchestrate different activities and signals in different regions of the brain using different protein agents. Metadoxine displayed extensive and highly specific receptor binding to only one of the serotonin receptors family members, named 5-HT </w:t>
      </w:r>
      <w:r>
        <w:rPr>
          <w:rFonts w:ascii="Arial" w:cs="Arial" w:eastAsia="Arial" w:hAnsi="Arial"/>
          <w:sz w:val="30"/>
          <w:szCs w:val="30"/>
          <w:color w:val="auto"/>
          <w:vertAlign w:val="subscript"/>
        </w:rPr>
        <w:t>2B.</w:t>
      </w:r>
      <w:r>
        <w:rPr>
          <w:rFonts w:ascii="Arial" w:cs="Arial" w:eastAsia="Arial" w:hAnsi="Arial"/>
          <w:sz w:val="18"/>
          <w:szCs w:val="18"/>
          <w:color w:val="auto"/>
        </w:rPr>
        <w:t xml:space="preserve"> Selectivity in binding is important because the goal is to bind only with the targeted receptor to achieve the desired therapeutic effect and not bind to other targets where it may have undesired side effects. The specific binding to 5-HT </w:t>
      </w:r>
      <w:r>
        <w:rPr>
          <w:rFonts w:ascii="Arial" w:cs="Arial" w:eastAsia="Arial" w:hAnsi="Arial"/>
          <w:sz w:val="30"/>
          <w:szCs w:val="30"/>
          <w:color w:val="auto"/>
          <w:vertAlign w:val="subscript"/>
        </w:rPr>
        <w:t>2B</w:t>
      </w:r>
      <w:r>
        <w:rPr>
          <w:rFonts w:ascii="Arial" w:cs="Arial" w:eastAsia="Arial" w:hAnsi="Arial"/>
          <w:sz w:val="18"/>
          <w:szCs w:val="18"/>
          <w:color w:val="auto"/>
        </w:rPr>
        <w:t xml:space="preserve"> was further characterized by a functional test in rat stomach fundus aimed at measuring whether metadoxine is an activator (agonist) or a deactivator (antagonist) of the 5-HT </w:t>
      </w:r>
      <w:r>
        <w:rPr>
          <w:rFonts w:ascii="Arial" w:cs="Arial" w:eastAsia="Arial" w:hAnsi="Arial"/>
          <w:sz w:val="30"/>
          <w:szCs w:val="30"/>
          <w:color w:val="auto"/>
          <w:vertAlign w:val="subscript"/>
        </w:rPr>
        <w:t>2B</w:t>
      </w:r>
      <w:r>
        <w:rPr>
          <w:rFonts w:ascii="Arial" w:cs="Arial" w:eastAsia="Arial" w:hAnsi="Arial"/>
          <w:sz w:val="18"/>
          <w:szCs w:val="18"/>
          <w:color w:val="auto"/>
        </w:rPr>
        <w:t xml:space="preserve"> receptor. This assay concluded that metadoxine shows no agonist activities on this receptor, while its entire activity is as an antagonist, thereby reducing binding of the natural molecules that normally attach this receptor. The dysregulation of serotonergic pathways has long been genetically implicated in the susceptibility of ADHD and the 5-HT </w:t>
      </w:r>
      <w:r>
        <w:rPr>
          <w:rFonts w:ascii="Arial" w:cs="Arial" w:eastAsia="Arial" w:hAnsi="Arial"/>
          <w:sz w:val="30"/>
          <w:szCs w:val="30"/>
          <w:color w:val="auto"/>
          <w:vertAlign w:val="subscript"/>
        </w:rPr>
        <w:t>2B</w:t>
      </w:r>
      <w:r>
        <w:rPr>
          <w:rFonts w:ascii="Arial" w:cs="Arial" w:eastAsia="Arial" w:hAnsi="Arial"/>
          <w:sz w:val="18"/>
          <w:szCs w:val="18"/>
          <w:color w:val="auto"/>
        </w:rPr>
        <w:t xml:space="preserve"> receptor has been associated with ADHD in studies exploring the hereditary basis of ADHD, as well as in studies that attempt to understand the molecular basis of this and other cognitive disorders.</w:t>
      </w: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right="20" w:firstLine="389"/>
        <w:spacing w:after="0" w:line="225" w:lineRule="auto"/>
        <w:rPr>
          <w:sz w:val="20"/>
          <w:szCs w:val="20"/>
          <w:color w:val="auto"/>
        </w:rPr>
      </w:pPr>
      <w:r>
        <w:rPr>
          <w:rFonts w:ascii="Arial" w:cs="Arial" w:eastAsia="Arial" w:hAnsi="Arial"/>
          <w:sz w:val="18"/>
          <w:szCs w:val="18"/>
          <w:color w:val="auto"/>
        </w:rPr>
        <w:t>Certain serotonin receptors, including 5-HT</w:t>
      </w:r>
      <w:r>
        <w:rPr>
          <w:rFonts w:ascii="Arial" w:cs="Arial" w:eastAsia="Arial" w:hAnsi="Arial"/>
          <w:sz w:val="30"/>
          <w:szCs w:val="30"/>
          <w:color w:val="auto"/>
          <w:vertAlign w:val="subscript"/>
        </w:rPr>
        <w:t>2B</w:t>
      </w:r>
      <w:r>
        <w:rPr>
          <w:rFonts w:ascii="Arial" w:cs="Arial" w:eastAsia="Arial" w:hAnsi="Arial"/>
          <w:sz w:val="18"/>
          <w:szCs w:val="18"/>
          <w:color w:val="auto"/>
        </w:rPr>
        <w:t xml:space="preserve">, are purportedly capable of activating the ERK and Akt pathways directly, rather than exclusively through indirect activation via the synthesis of peptide growth factors. The reduction of ERK and Akt hyperactivation observed in </w:t>
      </w:r>
      <w:r>
        <w:rPr>
          <w:rFonts w:ascii="Arial" w:cs="Arial" w:eastAsia="Arial" w:hAnsi="Arial"/>
          <w:sz w:val="18"/>
          <w:szCs w:val="18"/>
          <w:i w:val="1"/>
          <w:iCs w:val="1"/>
          <w:color w:val="auto"/>
        </w:rPr>
        <w:t>Fmr1</w:t>
      </w:r>
      <w:r>
        <w:rPr>
          <w:rFonts w:ascii="Arial" w:cs="Arial" w:eastAsia="Arial" w:hAnsi="Arial"/>
          <w:sz w:val="18"/>
          <w:szCs w:val="18"/>
          <w:color w:val="auto"/>
        </w:rPr>
        <w:t xml:space="preserve"> KO mice after metadoxine treatment may be due in part to antagonism of 5-HT </w:t>
      </w:r>
      <w:r>
        <w:rPr>
          <w:rFonts w:ascii="Arial" w:cs="Arial" w:eastAsia="Arial" w:hAnsi="Arial"/>
          <w:sz w:val="30"/>
          <w:szCs w:val="30"/>
          <w:color w:val="auto"/>
          <w:vertAlign w:val="subscript"/>
        </w:rPr>
        <w:t>2B</w:t>
      </w:r>
      <w:r>
        <w:rPr>
          <w:rFonts w:ascii="Arial" w:cs="Arial" w:eastAsia="Arial" w:hAnsi="Arial"/>
          <w:sz w:val="18"/>
          <w:szCs w:val="18"/>
          <w:color w:val="auto"/>
        </w:rPr>
        <w:t xml:space="preserve"> receptors in the central nervous system. Therefore, the pro-cognitive effects of metadoxine may result from the normalization of these pathways thought to be involved in synaptic plasticity.</w:t>
      </w:r>
    </w:p>
    <w:p>
      <w:pPr>
        <w:spacing w:after="0" w:line="73" w:lineRule="exact"/>
        <w:rPr>
          <w:sz w:val="20"/>
          <w:szCs w:val="20"/>
          <w:color w:val="auto"/>
        </w:rPr>
      </w:pPr>
    </w:p>
    <w:p>
      <w:pPr>
        <w:ind w:right="180" w:firstLine="389"/>
        <w:spacing w:after="0" w:line="297" w:lineRule="auto"/>
        <w:rPr>
          <w:sz w:val="20"/>
          <w:szCs w:val="20"/>
          <w:color w:val="auto"/>
        </w:rPr>
      </w:pPr>
      <w:r>
        <w:rPr>
          <w:rFonts w:ascii="Arial" w:cs="Arial" w:eastAsia="Arial" w:hAnsi="Arial"/>
          <w:sz w:val="16"/>
          <w:szCs w:val="16"/>
          <w:color w:val="auto"/>
        </w:rPr>
        <w:t xml:space="preserve">Our working hypothesis is therefore that treatment of metadoxine, a selective antagonist of 5-HT </w:t>
      </w:r>
      <w:r>
        <w:rPr>
          <w:rFonts w:ascii="Arial" w:cs="Arial" w:eastAsia="Arial" w:hAnsi="Arial"/>
          <w:sz w:val="26"/>
          <w:szCs w:val="26"/>
          <w:color w:val="auto"/>
          <w:vertAlign w:val="subscript"/>
        </w:rPr>
        <w:t>2B</w:t>
      </w:r>
      <w:r>
        <w:rPr>
          <w:rFonts w:ascii="Arial" w:cs="Arial" w:eastAsia="Arial" w:hAnsi="Arial"/>
          <w:sz w:val="16"/>
          <w:szCs w:val="16"/>
          <w:color w:val="auto"/>
        </w:rPr>
        <w:t xml:space="preserve"> receptors may inhibit Akt and ERK signaling, and thus mediate a potential therapeutic benefit in neuronal impairment by facilitating synaptic plasticity underlying learning and memory. In support of this hypothesis, we observed a dose-dependent reduction of the overall synaptic excitability, enhanced GABAergic inhibitory synaptic transmission and specific phMRI profile of reduced brain activity, indicating that metadoxine may rescue neuronal hyperexcitability and neuronal circuit dysfunctions and may be beneficial in several neurodevelopmental disorders, such as FXS in whom there is excitatory/inhibitory synaptic transmission imbalance.</w:t>
      </w:r>
    </w:p>
    <w:p>
      <w:pPr>
        <w:spacing w:after="0" w:line="159" w:lineRule="exact"/>
        <w:rPr>
          <w:sz w:val="20"/>
          <w:szCs w:val="20"/>
          <w:color w:val="auto"/>
        </w:rPr>
      </w:pPr>
    </w:p>
    <w:p>
      <w:pPr>
        <w:ind w:right="140" w:firstLine="389"/>
        <w:spacing w:after="0" w:line="221" w:lineRule="auto"/>
        <w:rPr>
          <w:sz w:val="20"/>
          <w:szCs w:val="20"/>
          <w:color w:val="auto"/>
        </w:rPr>
      </w:pPr>
      <w:r>
        <w:rPr>
          <w:rFonts w:ascii="Arial" w:cs="Arial" w:eastAsia="Arial" w:hAnsi="Arial"/>
          <w:sz w:val="18"/>
          <w:szCs w:val="18"/>
          <w:color w:val="auto"/>
        </w:rPr>
        <w:t xml:space="preserve">In summary, we believe that MDX demonstrates a novel and unique monoamine-independent mechanism of action characterized by selective antagonism of 5-HT </w:t>
      </w:r>
      <w:r>
        <w:rPr>
          <w:rFonts w:ascii="Arial" w:cs="Arial" w:eastAsia="Arial" w:hAnsi="Arial"/>
          <w:sz w:val="30"/>
          <w:szCs w:val="30"/>
          <w:color w:val="auto"/>
          <w:vertAlign w:val="subscript"/>
        </w:rPr>
        <w:t>2B</w:t>
      </w:r>
      <w:r>
        <w:rPr>
          <w:rFonts w:ascii="Arial" w:cs="Arial" w:eastAsia="Arial" w:hAnsi="Arial"/>
          <w:sz w:val="18"/>
          <w:szCs w:val="18"/>
          <w:color w:val="auto"/>
        </w:rPr>
        <w:t xml:space="preserve"> receptor and facilitation of GABAergic inhibitory transmission. These characteristics indicate that metadoxine is a potential novel pro-cognitive agent with a well-established safety profile and putatively low risk of abuse with the potential to treat neurocognitive disorders such as ADHD and FXS.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jc w:val="both"/>
        <w:ind w:right="320" w:firstLine="441"/>
        <w:spacing w:after="0" w:line="259" w:lineRule="auto"/>
        <w:rPr>
          <w:sz w:val="20"/>
          <w:szCs w:val="20"/>
          <w:color w:val="auto"/>
        </w:rPr>
      </w:pPr>
      <w:r>
        <w:rPr>
          <w:rFonts w:ascii="Arial" w:cs="Arial" w:eastAsia="Arial" w:hAnsi="Arial"/>
          <w:sz w:val="18"/>
          <w:szCs w:val="18"/>
          <w:color w:val="auto"/>
        </w:rPr>
        <w:t>Mr. David Baker, our Chief Commercial Officer, leads our pre-commercialization activity. However, we currently do not have any internal sales or distribution infrastructure. In the event we receive regulatory approval for MDX, we intend, where appropriate, to pursue commercialization relationships with pharmaceutical companies and other strategic partners providing for distribution through their sales and marketing organizations, or build an internal commercial infrastructure.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200" w:firstLine="415"/>
        <w:spacing w:after="0" w:line="264" w:lineRule="auto"/>
        <w:rPr>
          <w:sz w:val="20"/>
          <w:szCs w:val="20"/>
          <w:color w:val="auto"/>
        </w:rPr>
      </w:pPr>
      <w:r>
        <w:rPr>
          <w:rFonts w:ascii="Arial" w:cs="Arial" w:eastAsia="Arial" w:hAnsi="Arial"/>
          <w:sz w:val="18"/>
          <w:szCs w:val="18"/>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MDX will be made on a plan by plan basis.</w:t>
      </w:r>
    </w:p>
    <w:p>
      <w:pPr>
        <w:spacing w:after="0" w:line="181" w:lineRule="exact"/>
        <w:rPr>
          <w:sz w:val="20"/>
          <w:szCs w:val="20"/>
          <w:color w:val="auto"/>
        </w:rPr>
      </w:pPr>
    </w:p>
    <w:p>
      <w:pPr>
        <w:ind w:right="20" w:firstLine="415"/>
        <w:spacing w:after="0" w:line="297" w:lineRule="auto"/>
        <w:rPr>
          <w:sz w:val="20"/>
          <w:szCs w:val="20"/>
          <w:color w:val="auto"/>
        </w:rPr>
      </w:pPr>
      <w:r>
        <w:rPr>
          <w:rFonts w:ascii="Arial" w:cs="Arial" w:eastAsia="Arial" w:hAnsi="Arial"/>
          <w:sz w:val="16"/>
          <w:szCs w:val="16"/>
          <w:color w:val="auto"/>
        </w:rPr>
        <w:t>Within the Medicare program, as a self-administered drug, MDX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58" w:lineRule="exact"/>
        <w:rPr>
          <w:sz w:val="20"/>
          <w:szCs w:val="20"/>
          <w:color w:val="auto"/>
        </w:rPr>
      </w:pPr>
    </w:p>
    <w:p>
      <w:pPr>
        <w:ind w:right="220" w:firstLine="416"/>
        <w:spacing w:after="0" w:line="255" w:lineRule="auto"/>
        <w:rPr>
          <w:sz w:val="20"/>
          <w:szCs w:val="20"/>
          <w:color w:val="auto"/>
        </w:rPr>
      </w:pPr>
      <w:r>
        <w:rPr>
          <w:rFonts w:ascii="Arial" w:cs="Arial" w:eastAsia="Arial" w:hAnsi="Arial"/>
          <w:sz w:val="18"/>
          <w:szCs w:val="18"/>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We are conducting development activities to expand the commercial potential of MDX. We sponsor and conduct clinical research activities with investigators and institutions to measure key clinical outcomes that are necessary in order for us to be able to file an NDA with the FDA and equivalent filings with other regulatory authorities. For the years ended December 31, 2015, 2014 and 2013, we incurred $13,461,000 $25,105,000, and $7,066,000, respectively, of research and development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from the Office of the Israeli Chief Scientist</w:t>
      </w:r>
    </w:p>
    <w:p>
      <w:pPr>
        <w:spacing w:after="0" w:line="229"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Our research and development efforts, during the period between May 1, 2009 and April 30, 2010, were financed in part through royalty-bearing grants, in an amount of $106,494 that we received from the OCS. With respect to such grants we are committed to pay certain royalties. Regardless of any royalty payment, we are further required to comply with the requirements of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We do not believe that these requirements will materially restrict us in any way.</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80" w:firstLine="416"/>
        <w:spacing w:after="0" w:line="255" w:lineRule="auto"/>
        <w:rPr>
          <w:sz w:val="20"/>
          <w:szCs w:val="20"/>
          <w:color w:val="auto"/>
        </w:rPr>
      </w:pPr>
      <w:r>
        <w:rPr>
          <w:rFonts w:ascii="Arial" w:cs="Arial" w:eastAsia="Arial" w:hAnsi="Arial"/>
          <w:sz w:val="18"/>
          <w:szCs w:val="18"/>
          <w:color w:val="auto"/>
        </w:rPr>
        <w:t>We currently have no manufacturing facilities and no experience with commercial-scale manufacturing. We currently rely on third-party manufacturers to produce bulk drug substance and drug products required for our clinical trials, respectively. We have entered into a customary clinical trial material manufacturing agreement.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193" w:lineRule="exact"/>
        <w:rPr>
          <w:sz w:val="20"/>
          <w:szCs w:val="20"/>
          <w:color w:val="auto"/>
        </w:rPr>
      </w:pPr>
    </w:p>
    <w:p>
      <w:pPr>
        <w:ind w:right="80" w:firstLine="416"/>
        <w:spacing w:after="0" w:line="264" w:lineRule="auto"/>
        <w:rPr>
          <w:sz w:val="20"/>
          <w:szCs w:val="20"/>
          <w:color w:val="auto"/>
        </w:rPr>
      </w:pPr>
      <w:r>
        <w:rPr>
          <w:rFonts w:ascii="Arial" w:cs="Arial" w:eastAsia="Arial" w:hAnsi="Arial"/>
          <w:sz w:val="18"/>
          <w:szCs w:val="18"/>
          <w:color w:val="auto"/>
        </w:rPr>
        <w:t>We have not identified secondary raw material supplier (for drug substance) nor manufacturer for drug substance and drug product. We do not have a long-term commercial supply arrangement in place with any of our contract manufacturers. If we need to identify additional suppliers and manufacturers, we would not be able to do so without significant delay and likely significant additional cost.</w:t>
      </w:r>
    </w:p>
    <w:p>
      <w:pPr>
        <w:spacing w:after="0" w:line="181"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Our third-party manufacturers, their facilities and all lots of drug substance and drug products used in our clinical trials are required to be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We face competition from established pharmaceutical companies that currently market a wide range of drugs to treat ADHD and symptoms of Fragile X. All of these competitors have far greater marketing and research capabilities than we do. We also face potential competition from academic institutions, government agencies and private and public research institutions, among others, which may in the future develop products to treat ADHD and Fragile X. All of these companies and institutions may have products in development that are superior to MDX. Our commercial opportunity would be reduced significantly if our competitors develop and commercialize products that are safer, more effective, more convenient, have fewer side effects or are less expensive than MDX. Public announcements regarding the development of competing drugs could adversely affect the price of our stock and the commercial potential of MDX.</w:t>
      </w:r>
    </w:p>
    <w:p>
      <w:pPr>
        <w:spacing w:after="0" w:line="189" w:lineRule="exact"/>
        <w:rPr>
          <w:sz w:val="20"/>
          <w:szCs w:val="20"/>
          <w:color w:val="auto"/>
        </w:rPr>
      </w:pPr>
    </w:p>
    <w:p>
      <w:pPr>
        <w:ind w:right="140" w:firstLine="416"/>
        <w:spacing w:after="0" w:line="259" w:lineRule="auto"/>
        <w:rPr>
          <w:sz w:val="20"/>
          <w:szCs w:val="20"/>
          <w:color w:val="auto"/>
        </w:rPr>
      </w:pPr>
      <w:r>
        <w:rPr>
          <w:rFonts w:ascii="Arial" w:cs="Arial" w:eastAsia="Arial" w:hAnsi="Arial"/>
          <w:sz w:val="18"/>
          <w:szCs w:val="18"/>
          <w:color w:val="auto"/>
        </w:rPr>
        <w:t>In addition, the following compounds are under development in clinical trials for ADHD: dasotraline (Sunovion) (Phase 3), eltoprazine (Ammarantus) (Phase 2), centanafadine (Neurovance) (Phase 2), and AR08 (Arbor) (Phase 2). These compounds are all non-stimulants, however, none of them have a similar mechanism of action as MDX. In addition, a number of formulations of amphetamine and methylphenidate stimulants are under development, although these are not considered to be direct competitors to MDX.</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compounds are under development in clinical trials for Fragile X: NNZ-2566 (Neuren) (Phase 2), ganoxalone (Marinus) (Phase 2).</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lists of competitive compounds under development may not be exhaustive.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240" w:firstLine="416"/>
        <w:spacing w:after="0" w:line="279" w:lineRule="auto"/>
        <w:rPr>
          <w:sz w:val="20"/>
          <w:szCs w:val="20"/>
          <w:color w:val="auto"/>
        </w:rPr>
      </w:pPr>
      <w:r>
        <w:rPr>
          <w:rFonts w:ascii="Arial" w:cs="Arial" w:eastAsia="Arial" w:hAnsi="Arial"/>
          <w:sz w:val="17"/>
          <w:szCs w:val="17"/>
          <w:color w:val="auto"/>
        </w:rPr>
        <w:t>We seek patent protection in the United States and internationally for MDX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7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We currently have three issued U.S. patents, covering the composition of the sustained release form of MDX, the use of metadoxine for ADHD, and new molecular derivatives of metadoxine. We also have six issued patents in Australia, Japan, India, Mexico, Russia and Europe that cover the composition of the sustained release form of MDX. The European patent includes the following territories: Austria, Belgium, Bulgaria, Switzerland, Cyprus, Czech Republic, Germany, Denmark, Estonia, Spain, Finland, France, United Kingdom, Greece, Croatia, Hungary, Ireland, Iceland, Italy, Lithuania, Latvia, Luxembourg, Monaco, Malta, Netherlands, Norway, Poland, Portugal, Romania, Sweden, Slovenia, Slovakia and Turkey. Additionally, we have five issued patents in Australia, China, Japan, Mexico and New Zealand that cover the use of metadoxine for ADHD. We cannot be sure that any additional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Item 3.D. Risk Factors “Risks Related to Our Intellectual Property.”</w:t>
      </w:r>
    </w:p>
    <w:p>
      <w:pPr>
        <w:spacing w:after="0" w:line="16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intellectual property rights, and will make it more difficult to monitor and enforce any patent rights that may be issued to us.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858" w:gutter="0" w:footer="0" w:header="0"/>
        </w:sectPr>
      </w:pPr>
    </w:p>
    <w:bookmarkStart w:id="40" w:name="page41"/>
    <w:bookmarkEnd w:id="40"/>
    <w:p>
      <w:pPr>
        <w:ind w:left="420"/>
        <w:spacing w:after="0"/>
        <w:rPr>
          <w:sz w:val="20"/>
          <w:szCs w:val="20"/>
          <w:color w:val="auto"/>
        </w:rPr>
      </w:pPr>
      <w:r>
        <w:rPr>
          <w:rFonts w:ascii="Arial" w:cs="Arial" w:eastAsia="Arial" w:hAnsi="Arial"/>
          <w:sz w:val="18"/>
          <w:szCs w:val="18"/>
          <w:color w:val="auto"/>
        </w:rPr>
        <w:t>Our success depends in part on our ability to:</w:t>
      </w:r>
    </w:p>
    <w:p>
      <w:pPr>
        <w:spacing w:after="0" w:line="212" w:lineRule="exact"/>
        <w:rPr>
          <w:sz w:val="20"/>
          <w:szCs w:val="20"/>
          <w:color w:val="auto"/>
        </w:rPr>
      </w:pPr>
    </w:p>
    <w:p>
      <w:pPr>
        <w:ind w:left="920" w:hanging="453"/>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preserve trade secrets;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operate our business without infringing the patents and proprietary rights of third parties, both in the United States and internationally.</w:t>
      </w:r>
    </w:p>
    <w:p>
      <w:pPr>
        <w:spacing w:after="0" w:line="22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Clinical trials, the drug approval process, and the marketing of drugs are intensively regulated in the United States and in all major foreign countries.</w:t>
      </w:r>
    </w:p>
    <w:p>
      <w:pPr>
        <w:spacing w:after="0" w:line="248"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7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87"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or delay regulatory approval of MDX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required by the FDA before new drugs may be marketed in the United States generally involves the following:</w:t>
      </w:r>
    </w:p>
    <w:p>
      <w:pPr>
        <w:spacing w:after="0" w:line="212" w:lineRule="exact"/>
        <w:rPr>
          <w:sz w:val="20"/>
          <w:szCs w:val="20"/>
          <w:color w:val="auto"/>
        </w:rPr>
      </w:pPr>
    </w:p>
    <w:p>
      <w:pPr>
        <w:ind w:left="920" w:hanging="453"/>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nonclinical laboratory and animal tests;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submission of an IND application which must become effective before clinical trials may begin;</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adequate and well-controlled human clinical trials to establish the safety and efficacy of the proposed drug for its intended use or uses;</w:t>
      </w:r>
    </w:p>
    <w:p>
      <w:pPr>
        <w:spacing w:after="0" w:line="209" w:lineRule="exact"/>
        <w:rPr>
          <w:rFonts w:ascii="Arial" w:cs="Arial" w:eastAsia="Arial" w:hAnsi="Arial"/>
          <w:sz w:val="17"/>
          <w:szCs w:val="17"/>
          <w:color w:val="auto"/>
        </w:rPr>
      </w:pPr>
    </w:p>
    <w:p>
      <w:pPr>
        <w:ind w:left="920" w:hanging="453"/>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clinical trial sites; and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approval of an NDA which must occur before a drug can be marketed or sold.</w:t>
      </w:r>
    </w:p>
    <w:p>
      <w:pPr>
        <w:spacing w:after="0" w:line="21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testing and approval process requires substantial time and financial resources, and we cannot be certain that any approvals for MDX will be granted on a timely basis if at all.</w:t>
      </w:r>
    </w:p>
    <w:p>
      <w:pPr>
        <w:spacing w:after="0" w:line="17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will need to successfully complete extensive additional pre-clinical and clinical trials in order to be in a position to submit a new drug application to the FDA. Our planned future trials for MDX may not begin or be completed on schedule, if at all. Trials can be delayed for a variety of reasons, including delays in:</w:t>
      </w:r>
    </w:p>
    <w:p>
      <w:pPr>
        <w:spacing w:after="0" w:line="168" w:lineRule="exact"/>
        <w:rPr>
          <w:sz w:val="20"/>
          <w:szCs w:val="20"/>
          <w:color w:val="auto"/>
        </w:rPr>
      </w:pPr>
    </w:p>
    <w:p>
      <w:pPr>
        <w:ind w:left="920" w:hanging="453"/>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regulatory approval to commence a study;</w:t>
      </w:r>
    </w:p>
    <w:p>
      <w:pPr>
        <w:spacing w:after="0" w:line="198" w:lineRule="exact"/>
        <w:rPr>
          <w:rFonts w:ascii="Arial" w:cs="Arial" w:eastAsia="Arial" w:hAnsi="Arial"/>
          <w:sz w:val="18"/>
          <w:szCs w:val="18"/>
          <w:color w:val="auto"/>
        </w:rPr>
      </w:pPr>
    </w:p>
    <w:p>
      <w:pPr>
        <w:ind w:left="920" w:right="80" w:hanging="453"/>
        <w:spacing w:after="0" w:line="246"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reaching agreement with third-party clinical trial sites and vendors and their subsequent performance in conducting accurate and reliable studies on a timely basis;</w:t>
      </w:r>
    </w:p>
    <w:p>
      <w:pPr>
        <w:spacing w:after="0" w:line="169" w:lineRule="exact"/>
        <w:rPr>
          <w:rFonts w:ascii="Arial" w:cs="Arial" w:eastAsia="Arial" w:hAnsi="Arial"/>
          <w:sz w:val="18"/>
          <w:szCs w:val="18"/>
          <w:color w:val="auto"/>
        </w:rPr>
      </w:pPr>
    </w:p>
    <w:p>
      <w:pPr>
        <w:ind w:left="920" w:hanging="453"/>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study at a prospective site;</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1" w:name="page42"/>
    <w:bookmarkEnd w:id="41"/>
    <w:p>
      <w:pPr>
        <w:ind w:left="920" w:hanging="453"/>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recruiting subjects to participate in a study; and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supply of the drug.</w:t>
      </w:r>
    </w:p>
    <w:p>
      <w:pPr>
        <w:spacing w:after="0" w:line="212"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7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Our objective is to conduct additional clinical trials for MDX in adults and children and, if those trials are successful, seek marketing approval from the FDA and other worldwide regulatory bodies. To achieve this objective, we plan to complete at least one additional Phase 3 clinical trial of MDX for the treatment of ADHD in adults, and, if successful, proceed with two adequate and well controlled clinical trials in the pediatric ADHD population. The first marketing authorization application is expected to be NDA submission in the United States. We completed a Phase 2b trial in 2011 and a Phase 3 study in 2014. We plan to follow this process also with respect to the other cognitive disorders, such as Fragile X.</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NDA approval, human clinical trials are typically conducted in phases that may overlap.</w:t>
      </w:r>
    </w:p>
    <w:p>
      <w:pPr>
        <w:spacing w:after="0" w:line="212" w:lineRule="exact"/>
        <w:rPr>
          <w:sz w:val="20"/>
          <w:szCs w:val="20"/>
          <w:color w:val="auto"/>
        </w:rPr>
      </w:pPr>
    </w:p>
    <w:p>
      <w:pPr>
        <w:ind w:left="920" w:right="20" w:hanging="453"/>
        <w:spacing w:after="0" w:line="253" w:lineRule="auto"/>
        <w:tabs>
          <w:tab w:leader="none" w:pos="92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The drug is initially introduced into healthy human subjects and tested for safety, dosage tolerance, absorption, metabolism,</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and excretion. In the case of some products for severe or life-threatening diseases, especially when the product may be too inherently toxic to ethically administer to healthy volunteers, the initial human testing is often conducted in patients.</w:t>
      </w:r>
    </w:p>
    <w:p>
      <w:pPr>
        <w:spacing w:after="0" w:line="165" w:lineRule="exact"/>
        <w:rPr>
          <w:rFonts w:ascii="Arial" w:cs="Arial" w:eastAsia="Arial" w:hAnsi="Arial"/>
          <w:sz w:val="17"/>
          <w:szCs w:val="17"/>
          <w:color w:val="auto"/>
        </w:rPr>
      </w:pPr>
    </w:p>
    <w:p>
      <w:pPr>
        <w:ind w:left="920" w:right="100" w:hanging="453"/>
        <w:spacing w:after="0" w:line="231"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This phase involves trials in a limited subject population to identify possible adverse effects and safety risks, to preliminarily</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the efficacy of the product for specific targeted diseases and to determine dosage tolerance and optimal dosage. Phase 2 studies may be sub-categorized to Phase 2a studies which are smaller, pilot studies to evaluate limited drug exposure and efficacy signals, and Phase 2b studies which are larger studies testing more rigorously both safety and efficacy.</w:t>
      </w:r>
    </w:p>
    <w:p>
      <w:pPr>
        <w:spacing w:after="0" w:line="175" w:lineRule="exact"/>
        <w:rPr>
          <w:rFonts w:ascii="Arial" w:cs="Arial" w:eastAsia="Arial" w:hAnsi="Arial"/>
          <w:sz w:val="18"/>
          <w:szCs w:val="18"/>
          <w:color w:val="auto"/>
        </w:rPr>
      </w:pPr>
    </w:p>
    <w:p>
      <w:pPr>
        <w:ind w:left="920" w:right="280" w:hanging="453"/>
        <w:spacing w:after="0" w:line="235"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This phase involves adequate and well controlled trials undertaken to further evaluate dosage, clinical efficacy and safety in an</w:t>
      </w:r>
      <w:r>
        <w:rPr>
          <w:rFonts w:ascii="Arial" w:cs="Arial" w:eastAsia="Arial" w:hAnsi="Arial"/>
          <w:sz w:val="18"/>
          <w:szCs w:val="18"/>
          <w:i w:val="1"/>
          <w:iCs w:val="1"/>
          <w:color w:val="auto"/>
        </w:rPr>
        <w:t xml:space="preserve"> </w:t>
      </w:r>
      <w:r>
        <w:rPr>
          <w:rFonts w:ascii="Arial" w:cs="Arial" w:eastAsia="Arial" w:hAnsi="Arial"/>
          <w:sz w:val="18"/>
          <w:szCs w:val="18"/>
          <w:color w:val="auto"/>
        </w:rPr>
        <w:t>expanded subject population, often at geographically dispersed clinical trial sites. These trials are intended to establish the overall risk/benefit ratio of the product and provide an adequate basis for product labeling.</w:t>
      </w:r>
    </w:p>
    <w:p>
      <w:pPr>
        <w:spacing w:after="0" w:line="18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All of these trials must be conducted in accordance with good clinical practice requirements in order for the data to be considered reliable for regulatory purposes.</w:t>
      </w:r>
    </w:p>
    <w:p>
      <w:pPr>
        <w:spacing w:after="0" w:line="17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Typically, if a drug product is intended to treat a chronic disease, as is the case with MDX when it is intended to treat ADHD and Fragile X, safety and efficacy data must be gathered over an extended period of time, which can range from 12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MDX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NDA Approval Process</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(such as with Orphan Drug Designation).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5"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95" w:right="259" w:bottom="1440" w:gutter="0" w:footer="0" w:header="0"/>
        </w:sectPr>
      </w:pPr>
    </w:p>
    <w:bookmarkStart w:id="42" w:name="page43"/>
    <w:bookmarkEnd w:id="42"/>
    <w:p>
      <w:pPr>
        <w:ind w:right="140" w:firstLine="405"/>
        <w:spacing w:after="0" w:line="276" w:lineRule="auto"/>
        <w:rPr>
          <w:sz w:val="20"/>
          <w:szCs w:val="20"/>
          <w:color w:val="auto"/>
        </w:rPr>
      </w:pPr>
      <w:r>
        <w:rPr>
          <w:rFonts w:ascii="Arial" w:cs="Arial" w:eastAsia="Arial" w:hAnsi="Arial"/>
          <w:sz w:val="17"/>
          <w:szCs w:val="17"/>
          <w:color w:val="auto"/>
        </w:rPr>
        <w:t>Based on pivotal Phase 3 trial results submitted in an NDA, upon the request of an applicant, the FDA may, subject to certain requirements,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7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87" w:lineRule="exact"/>
        <w:rPr>
          <w:sz w:val="20"/>
          <w:szCs w:val="20"/>
          <w:color w:val="auto"/>
        </w:rPr>
      </w:pPr>
    </w:p>
    <w:p>
      <w:pPr>
        <w:jc w:val="both"/>
        <w:ind w:right="300" w:firstLine="450"/>
        <w:spacing w:after="0" w:line="264"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Additionally, before approving an NDA, the FDA may inspect one or more clinical sites to assure compliance with good clinical practices, or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9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8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for continuing drug approval. The results of Phase 4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8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Any approvals that we may ultimately receive could be withdrawn if required post-marketing trials or analyses do not meet the FDA requirements, which could materially harm the commercial prospects for MDX.</w:t>
      </w:r>
    </w:p>
    <w:p>
      <w:pPr>
        <w:spacing w:after="0" w:line="1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Prescription Drug User Fee Act review cycle, the approval date may be delayed. Once adopted, REMS are subject to periodic assessment and modification.</w:t>
      </w:r>
    </w:p>
    <w:p>
      <w:pPr>
        <w:spacing w:after="0" w:line="193"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MDX, or obtaining approval but for significantly limited use, would harm our business. In addition, we cannot predict what adverse governmental regulations may arise from future U.S. or foreign governmental action.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received Orphan Drug Designation for metadoxine, the active ingredient in MDX for the treatment of Fragile X in the United States.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Drug Designation is intended to assist and encourage companies to develop safe and effective therapies for the treatment of rare diseases and disorders. In addition to providing a seven year term of market exclusivity upon final FDA approval, orphan drug designation also positions a company to be able to leverage a wide range of financial and regulatory benefits, including government grants for conducting clinical trials, waiver of expensive FDA user fees for the potential submission of a New Drug Application, and certain tax credits.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right="100" w:firstLine="405"/>
        <w:spacing w:after="0" w:line="289"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or biological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 in the European Union.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Fast Track Designation</w:t>
      </w:r>
    </w:p>
    <w:p>
      <w:pPr>
        <w:spacing w:after="0" w:line="225"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obtained a fast track designation for MDX for Fragile X. Fast track designation is intended to facilitate development and expedite review of drugs to treat serious and life-threatening conditions so that an approved product can reach the market expeditiously. This designation may involve frequent interactions with the FDA. If the product meets the regulatory requirements it may also be eligible for priority review or rolling review of the NDA.</w:t>
      </w:r>
    </w:p>
    <w:p>
      <w:pPr>
        <w:spacing w:after="0" w:line="14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Some products granted fast track designation will not continue to meet the criteria for fast track designation. A drug product in a fast track development program may not continue to meet the criteria if the drug: (i) no longer demonstrates a potential to address unmet medical need, or (ii) is not being studied in a manner that shows the drug product can treat a serious condition and meets an unmet medical need. The drug product may no longer demonstrate a potential to address unmet medical need, for example, if a new product was approved under a traditional approval that addressed the same need or if emerging clinical data failed to show that the product in a fast track development program had the anticipated advantage over available therapy. When fast track designation is no longer supported by emerging data or the designated drug development program is no longer being pursued, the FDA may choose to send a letter notifying the sponsor that the program is no longer designated as a fast track drug development program.</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Labeling, Marketing and Promotion</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The Pediatric Research Equity Act, or PREA, amended the FDCA to authorize the FDA to require certain research into drugs used in pediatric patients. The intent of the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 The FDA may decide that an NDA will be approved only following completion of additional pediatric studies.</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4" w:name="page45"/>
    <w:bookmarkEnd w:id="44"/>
    <w:p>
      <w:pPr>
        <w:ind w:left="42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8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8"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18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There are also an increasing number of state laws that require manufacturers to make reports to states on pricing and marketing information. Many of these laws contain ambiguities as to what is required to comply with the laws. In addition, a similar federal requirement Section 6002 of the PPACA, commonly referred to as the “Physical Payments Sunshine Act” requires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Patient Protection and Affordable Health Care Act</w:t>
      </w:r>
    </w:p>
    <w:p>
      <w:pPr>
        <w:spacing w:after="0" w:line="2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As mentioned, in March 2010, the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8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This legislation is expected to impact the scope of healthcare insurance, the insurance refunds from the insurance companies and possibly also on the costs of medical products.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6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4.C.</w:t>
      </w:r>
      <w:r>
        <w:rPr>
          <w:sz w:val="20"/>
          <w:szCs w:val="20"/>
          <w:color w:val="auto"/>
        </w:rPr>
        <w:tab/>
      </w:r>
      <w:r>
        <w:rPr>
          <w:rFonts w:ascii="Arial" w:cs="Arial" w:eastAsia="Arial" w:hAnsi="Arial"/>
          <w:sz w:val="16"/>
          <w:szCs w:val="16"/>
          <w:b w:val="1"/>
          <w:bCs w:val="1"/>
          <w:color w:val="auto"/>
        </w:rPr>
        <w:t>Organizational structure</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sole wholly-owned subsidiary is Alcobra, Inc., incorporated in the United States.</w:t>
      </w:r>
    </w:p>
    <w:p>
      <w:pPr>
        <w:spacing w:after="0" w:line="20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4.D.</w:t>
      </w:r>
      <w:r>
        <w:rPr>
          <w:sz w:val="20"/>
          <w:szCs w:val="20"/>
          <w:color w:val="auto"/>
        </w:rPr>
        <w:tab/>
      </w:r>
      <w:r>
        <w:rPr>
          <w:rFonts w:ascii="Arial" w:cs="Arial" w:eastAsia="Arial" w:hAnsi="Arial"/>
          <w:sz w:val="16"/>
          <w:szCs w:val="16"/>
          <w:b w:val="1"/>
          <w:bCs w:val="1"/>
          <w:color w:val="auto"/>
        </w:rPr>
        <w:t>Property, plants and equipment</w:t>
      </w:r>
    </w:p>
    <w:p>
      <w:pPr>
        <w:spacing w:after="0" w:line="216"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Our headquarters is currently located in Tel Aviv, Israel and consists of approximately 7,170 square feet of leased office space under a lease for five years, starting May 25, 2015. We have also leased an additional office in Petah Tikva, Israel of approximately 1,400 square feet. Our wholly owned subsidiary, Alcobra Inc. leases an office for our U.S. employees in the greater Philadelphia area, with approximately 500 square feet. We believe that our existing and planned facilities are adequate to meet our current needs and that suitable additional alternative spaces will be available in the future on commercially reasonable terms.</w:t>
      </w:r>
    </w:p>
    <w:p>
      <w:pPr>
        <w:spacing w:after="0" w:line="188"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We consider that our current office space is sufficient to meet our anticipated needs for the foreseeable future and is suitable for the conduct of our business.</w:t>
      </w:r>
    </w:p>
    <w:p>
      <w:pPr>
        <w:spacing w:after="0" w:line="1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5" w:name="page46"/>
    <w:bookmarkEnd w:id="45"/>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89"/>
        <w:spacing w:after="0" w:line="257"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our proprietary oral drug candidate, MDX, to treat ADHD and other cognitive dysfunctions including Fragile X. To that end, we completed several pre-clinical and clinical studies in both ADHD and Fragile X. We have multiple claims in our issued and pending patents and patent applications that, if issued, would prevent the use by others of metadoxine and MDX to treat ADHD, Fragile X and other cognitive disorders. In addition, the FDA has granted Orphan Drug status to metadoxine for treatment of Fragile X.</w:t>
      </w:r>
    </w:p>
    <w:p>
      <w:pPr>
        <w:spacing w:after="0" w:line="188"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To date, we have not generated revenue from the sale of any product, and we do not expect to generate significant revenue unless and until we obtain marketing approval of, and commercialize, MDX. As of December 31, 2015, we had an accumulated deficit of $71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Our current operating expenses consist of three components – research and development expenses, pre-commercialization expenses and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Our research and development expenses consist primarily of expenses related to third party clinical consultants and expenses related to conducting clinical and preclinical trials, salaries and related personnel expenses, share-based compensation expenses, travel expenses and other research and development expenses.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discloses the breakdown of research and development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Cost to third party clinical consultants and expenses related to conducting clinical</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trials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9,733</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Salaries and related personnel expenses</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Pre-commercialization Expenses</w:t>
      </w:r>
    </w:p>
    <w:p>
      <w:pPr>
        <w:spacing w:after="0" w:line="225" w:lineRule="exact"/>
        <w:rPr>
          <w:sz w:val="20"/>
          <w:szCs w:val="20"/>
          <w:color w:val="auto"/>
        </w:rPr>
      </w:pPr>
    </w:p>
    <w:p>
      <w:pPr>
        <w:ind w:right="340" w:firstLine="450"/>
        <w:spacing w:after="0" w:line="277" w:lineRule="auto"/>
        <w:rPr>
          <w:sz w:val="20"/>
          <w:szCs w:val="20"/>
          <w:color w:val="auto"/>
        </w:rPr>
      </w:pPr>
      <w:r>
        <w:rPr>
          <w:rFonts w:ascii="Arial" w:cs="Arial" w:eastAsia="Arial" w:hAnsi="Arial"/>
          <w:sz w:val="18"/>
          <w:szCs w:val="18"/>
          <w:color w:val="auto"/>
        </w:rPr>
        <w:t>Pre-commercialization expenses consist primarily salary and related expenses, share-based compensation expense and professional services fees in connection with business development and market research for our product.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discloses the breakdown of pre commercialization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1,067</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related personnel expenses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gridSpan w:val="3"/>
            <w:vMerge w:val="continue"/>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1,245</w:t>
            </w:r>
          </w:p>
        </w:tc>
        <w:tc>
          <w:tcPr>
            <w:tcW w:w="80" w:type="dxa"/>
            <w:vAlign w:val="bottom"/>
          </w:tcPr>
          <w:p>
            <w:pPr>
              <w:spacing w:after="0"/>
              <w:rPr>
                <w:sz w:val="21"/>
                <w:szCs w:val="21"/>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2,134</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personnel expenses, share-based compensation expense, professional service fees for accounting, legal and bookkeeping and other general and administrative expenses.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bookmarkStart w:id="46" w:name="page47"/>
    <w:bookmarkEnd w:id="46"/>
    <w:p>
      <w:pPr>
        <w:ind w:left="420"/>
        <w:spacing w:after="0"/>
        <w:rPr>
          <w:sz w:val="20"/>
          <w:szCs w:val="20"/>
          <w:color w:val="auto"/>
        </w:rPr>
      </w:pPr>
      <w:r>
        <w:rPr>
          <w:rFonts w:ascii="Arial" w:cs="Arial" w:eastAsia="Arial" w:hAnsi="Arial"/>
          <w:sz w:val="18"/>
          <w:szCs w:val="18"/>
          <w:color w:val="auto"/>
        </w:rPr>
        <w:t>The following table discloses the breakdown of general and administrative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2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1,289</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w:t>
            </w:r>
          </w:p>
        </w:tc>
        <w:tc>
          <w:tcPr>
            <w:tcW w:w="3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1,813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2,172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related personnel expenses</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22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11"/>
          </w:tcPr>
          <w:p>
            <w:pPr>
              <w:jc w:val="right"/>
              <w:ind w:right="100"/>
              <w:spacing w:after="0"/>
              <w:rPr>
                <w:sz w:val="20"/>
                <w:szCs w:val="20"/>
                <w:color w:val="auto"/>
              </w:rPr>
            </w:pPr>
            <w:r>
              <w:rPr>
                <w:rFonts w:ascii="Arial" w:cs="Arial" w:eastAsia="Arial" w:hAnsi="Arial"/>
                <w:sz w:val="18"/>
                <w:szCs w:val="18"/>
                <w:b w:val="1"/>
                <w:bCs w:val="1"/>
                <w:color w:val="auto"/>
              </w:rPr>
              <w:t>(in thousands of U.S. dollars)</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13,461</w:t>
            </w: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25,105</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Pre-commercialization expenses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2,134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5,839</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19,698</w:t>
            </w: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33,078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Expense (Income), net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Expenses (Benefits)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holders of ordinary shares</w:t>
            </w: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19,449</w:t>
            </w: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32,834</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2015 to the Year Ended December 31, 2014 to the Year Ended December 31,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research and development expenses for the year ended December 31, 2015, amounted to $13,461,000, representing a decrease of $11,644,000, or 46%, compared to $25,105,000 for the year ended December 31, 2014. The difference is primarily due to a decrease in third party clinical expenses related to the completion of our first Phase 3 study in adult ADHD in October 2014.</w:t>
      </w:r>
    </w:p>
    <w:p>
      <w:pPr>
        <w:spacing w:after="0" w:line="18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research and development expenses for the year ended December 31, 2014, amounted to $25,105,000, representing an increase of $18,039,000, or 255% compared to $7,066,000 for the year ended December 31, 2013. The difference is primarily due to an increase in third party clinical expenses related to conducting our first Phase 3 study in adult ADHD in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Pre-commercialization expenses</w:t>
      </w:r>
    </w:p>
    <w:p>
      <w:pPr>
        <w:spacing w:after="0" w:line="22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Our pre-commercialization expenses for the year ended December 31, 2015, amounted to $1,245,000, representing a decrease of $889,000, or 42%, compared to $2,134,000 for the year ended December 31, 2014. The difference is primarily due to a decrease in share-based compensation and professional services expenses in the amount of $757,000.</w:t>
      </w:r>
    </w:p>
    <w:p>
      <w:pPr>
        <w:spacing w:after="0" w:line="18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pre-commercialization expenses for the year ended December 31, 2014, amounted to $2,134,000 and consisted primarily of expense related to professional services in the amount of $1,067,000, expense related to share-based compensation in the amount of $616,000 and salaries and related personnel expenses in the amount of $355,000. No pre-commercialization expenses were incurred in 2013.</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general and administrative expenses totaled $4,992,000 for the year ended December 31, 2015, a decrease of $847,000 or 14.5%,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$5,839,000 for the year ended December 31, 2014. The difference resulted primarily from a decrease of $411,000 in share-based compensation expenses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decrease of $359,000 in professional services expenses.</w:t>
      </w:r>
    </w:p>
    <w:p>
      <w:pPr>
        <w:spacing w:after="0" w:line="211" w:lineRule="exact"/>
        <w:rPr>
          <w:sz w:val="20"/>
          <w:szCs w:val="20"/>
          <w:color w:val="auto"/>
        </w:rPr>
      </w:pPr>
    </w:p>
    <w:p>
      <w:pPr>
        <w:jc w:val="both"/>
        <w:ind w:right="320" w:firstLine="405"/>
        <w:spacing w:after="0" w:line="312" w:lineRule="auto"/>
        <w:rPr>
          <w:sz w:val="20"/>
          <w:szCs w:val="20"/>
          <w:color w:val="auto"/>
        </w:rPr>
      </w:pPr>
      <w:r>
        <w:rPr>
          <w:rFonts w:ascii="Arial" w:cs="Arial" w:eastAsia="Arial" w:hAnsi="Arial"/>
          <w:sz w:val="16"/>
          <w:szCs w:val="16"/>
          <w:color w:val="auto"/>
        </w:rPr>
        <w:t>Our general and administrative expenses totaled $5,839,000 for the year ended December 31, 2014, an increase of $2,615,000, or 81%, compared to $3,224,000 for the year ended December 31, 2013. The increase resulted primarily from an increase of $1,107,000 in professional services, an increase of $590,000 in share-based compensation expenses and an increase of $709,000 in salaries and related personnel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ind w:right="860" w:firstLine="405"/>
        <w:spacing w:after="0" w:line="277" w:lineRule="auto"/>
        <w:rPr>
          <w:sz w:val="20"/>
          <w:szCs w:val="20"/>
          <w:color w:val="auto"/>
        </w:rPr>
      </w:pPr>
      <w:r>
        <w:rPr>
          <w:rFonts w:ascii="Arial" w:cs="Arial" w:eastAsia="Arial" w:hAnsi="Arial"/>
          <w:sz w:val="18"/>
          <w:szCs w:val="18"/>
          <w:color w:val="auto"/>
        </w:rPr>
        <w:t>As a result of the foregoing, our operating loss for the year ended December 31, 2015, was $19,698,000, as compared to an operating loss of $33,078,000 for the year ended December 31, 2014, a decrease of $13,380,000, or 40%.</w:t>
      </w:r>
    </w:p>
    <w:p>
      <w:pPr>
        <w:spacing w:after="0" w:line="17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Operating loss for the year ended December 31, 2014, was $33,078,000, as compared to an operating loss of $10,290,000 for the year ended December 31, 2013, an increase of $22,788,000, or 221%.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2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We recognized financial income of $300,000 for the year ended December 31, 2015, representing an increase of $73,000, compared to financial income of $227,000 for the year ended December 31, 2014. The increase is primarily due to interest income on bank deposits during 2015. We recognized financial income of $227,000 for the year ended December 31, 2014, representing an increase of $424,000, compared to financial expenses of $197,000 for the year ended December 31, 2013. The increase is primarily due to interest income on bank deposits during 2014 and conversion of our convertible notes in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Expenses</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We recognized $51,000 of tax expenses for the year ended December 31, 2015, as compared to tax benefits of $17,000 for the year ended December 31, 2014, an increase of $68,000.</w:t>
      </w:r>
    </w:p>
    <w:p>
      <w:pPr>
        <w:spacing w:after="0" w:line="1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recognized $17,000 of tax benefits for the year ended December 31, 2014, as compared to tax expenses of $61,000 for the year ended December 31, 2013, a decrease of $78,000. Our tax expenses consist of tax liabilities of our wholly owned subsidiary, Alcobra Inc., resulting from services Alcobra Inc. provides to us in accordance with an arms’ length services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a result of the foregoing, our loss for the year ended December 31, 2015 was $19,449,000 as compared to $32,834,000 for the year ended December 31, 2014, a decrease of $13,385,000 or 41%.</w:t>
      </w:r>
    </w:p>
    <w:p>
      <w:pPr>
        <w:spacing w:after="0" w:line="170"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Our loss for the year ended December 31, 2014 was $32,834,000, as compared to $10,548,000 for the year ended December 31, 2013, an increase of $22,286,000, or 211%.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Policy and Estimates</w:t>
      </w:r>
    </w:p>
    <w:p>
      <w:pPr>
        <w:spacing w:after="0" w:line="229" w:lineRule="exact"/>
        <w:rPr>
          <w:sz w:val="20"/>
          <w:szCs w:val="20"/>
          <w:color w:val="auto"/>
        </w:rPr>
      </w:pPr>
    </w:p>
    <w:p>
      <w:pPr>
        <w:ind w:right="40" w:firstLine="389"/>
        <w:spacing w:after="0" w:line="308" w:lineRule="auto"/>
        <w:rPr>
          <w:sz w:val="20"/>
          <w:szCs w:val="20"/>
          <w:color w:val="auto"/>
        </w:rPr>
      </w:pPr>
      <w:r>
        <w:rPr>
          <w:rFonts w:ascii="Arial" w:cs="Arial" w:eastAsia="Arial" w:hAnsi="Arial"/>
          <w:sz w:val="17"/>
          <w:szCs w:val="17"/>
          <w:color w:val="auto"/>
        </w:rPr>
        <w:t>We describe our significant accounting policies more fully in Note 2 to our consolidated financial statements for the year ended December 31, 2015. We believe that the accounting policy below is critical in order to fully understand and evaluate our financial condition and results of operations.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prepare our consolidated financial statements in accordance with accounting principles generally accepted in the United States, or U.S. GAAP.</w:t>
      </w:r>
    </w:p>
    <w:p>
      <w:pPr>
        <w:spacing w:after="0" w:line="248" w:lineRule="exact"/>
        <w:rPr>
          <w:sz w:val="20"/>
          <w:szCs w:val="20"/>
          <w:color w:val="auto"/>
        </w:rPr>
      </w:pPr>
    </w:p>
    <w:p>
      <w:pPr>
        <w:ind w:right="40" w:firstLine="389"/>
        <w:spacing w:after="0" w:line="30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and Fair Value of Ordinary Shares</w:t>
      </w:r>
    </w:p>
    <w:p>
      <w:pPr>
        <w:spacing w:after="0" w:line="225" w:lineRule="exact"/>
        <w:rPr>
          <w:sz w:val="20"/>
          <w:szCs w:val="20"/>
          <w:color w:val="auto"/>
        </w:rPr>
      </w:pPr>
    </w:p>
    <w:p>
      <w:pPr>
        <w:ind w:firstLine="389"/>
        <w:spacing w:after="0" w:line="259" w:lineRule="auto"/>
        <w:rPr>
          <w:sz w:val="20"/>
          <w:szCs w:val="20"/>
          <w:color w:val="auto"/>
        </w:rPr>
      </w:pPr>
      <w:r>
        <w:rPr>
          <w:rFonts w:ascii="Arial" w:cs="Arial" w:eastAsia="Arial" w:hAnsi="Arial"/>
          <w:sz w:val="18"/>
          <w:szCs w:val="18"/>
          <w:color w:val="auto"/>
        </w:rPr>
        <w:t>We account for share-based compensation in accordance with ASC 718, “Compensation - Stock Compensation,” or ASC 718,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accelerated method over the requisite service period of each of the awards.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8" w:name="page49"/>
    <w:bookmarkEnd w:id="48"/>
    <w:p>
      <w:pPr>
        <w:ind w:right="20" w:firstLine="389"/>
        <w:spacing w:after="0" w:line="277" w:lineRule="auto"/>
        <w:rPr>
          <w:sz w:val="20"/>
          <w:szCs w:val="20"/>
          <w:color w:val="auto"/>
        </w:rPr>
      </w:pPr>
      <w:r>
        <w:rPr>
          <w:rFonts w:ascii="Arial" w:cs="Arial" w:eastAsia="Arial" w:hAnsi="Arial"/>
          <w:sz w:val="18"/>
          <w:szCs w:val="18"/>
          <w:color w:val="auto"/>
        </w:rPr>
        <w:t>We selected the Black-Scholes-Merton option-pricing model, or Black-Scholes, as a fair value method for our options awards. The option-pricing model requires a number of assumptions:</w:t>
      </w:r>
    </w:p>
    <w:p>
      <w:pPr>
        <w:spacing w:after="0" w:line="170" w:lineRule="exact"/>
        <w:rPr>
          <w:sz w:val="20"/>
          <w:szCs w:val="20"/>
          <w:color w:val="auto"/>
        </w:rPr>
      </w:pPr>
    </w:p>
    <w:p>
      <w:pPr>
        <w:ind w:left="640" w:right="560"/>
        <w:spacing w:after="0" w:line="308" w:lineRule="auto"/>
        <w:rPr>
          <w:sz w:val="20"/>
          <w:szCs w:val="20"/>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The expected dividend yield assumption is based on our historical experience and expectation of no future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payouts. We have historically not paid cash dividends and have no foreseeable plans to pay cash dividends in the future.</w:t>
      </w:r>
    </w:p>
    <w:p>
      <w:pPr>
        <w:spacing w:after="0" w:line="147" w:lineRule="exact"/>
        <w:rPr>
          <w:sz w:val="20"/>
          <w:szCs w:val="20"/>
          <w:color w:val="auto"/>
        </w:rPr>
      </w:pPr>
    </w:p>
    <w:p>
      <w:pPr>
        <w:jc w:val="both"/>
        <w:ind w:left="640" w:right="140"/>
        <w:spacing w:after="0" w:line="264" w:lineRule="auto"/>
        <w:rPr>
          <w:sz w:val="20"/>
          <w:szCs w:val="20"/>
          <w:color w:val="auto"/>
        </w:rPr>
      </w:pPr>
      <w:r>
        <w:rPr>
          <w:rFonts w:ascii="Arial" w:cs="Arial" w:eastAsia="Arial" w:hAnsi="Arial"/>
          <w:sz w:val="18"/>
          <w:szCs w:val="18"/>
          <w:i w:val="1"/>
          <w:iCs w:val="1"/>
          <w:color w:val="auto"/>
        </w:rPr>
        <w:t xml:space="preserve">Volatility - </w:t>
      </w:r>
      <w:r>
        <w:rPr>
          <w:rFonts w:ascii="Arial" w:cs="Arial" w:eastAsia="Arial" w:hAnsi="Arial"/>
          <w:sz w:val="18"/>
          <w:szCs w:val="18"/>
          <w:color w:val="auto"/>
        </w:rPr>
        <w:t>Since our shares started trading on a stock exchange market only in May 2013, quoted prices data of our shares is limited. According to</w:t>
      </w:r>
      <w:r>
        <w:rPr>
          <w:rFonts w:ascii="Arial" w:cs="Arial" w:eastAsia="Arial" w:hAnsi="Arial"/>
          <w:sz w:val="18"/>
          <w:szCs w:val="18"/>
          <w:i w:val="1"/>
          <w:iCs w:val="1"/>
          <w:color w:val="auto"/>
        </w:rPr>
        <w:t xml:space="preserve"> </w:t>
      </w:r>
      <w:r>
        <w:rPr>
          <w:rFonts w:ascii="Arial" w:cs="Arial" w:eastAsia="Arial" w:hAnsi="Arial"/>
          <w:sz w:val="18"/>
          <w:szCs w:val="18"/>
          <w:color w:val="auto"/>
        </w:rPr>
        <w:t>ASC 718-10-30-20, in case of insufficient historical data for a company, the expected volatility was based on a weighted average of our and similar companies' stock volatility.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 must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for the expected term. Accordingly, we used the “simplified” method, meaning the expected life is set as the average of the vesting period for each vested tranche of options and the contractual term for those options.</w:t>
      </w:r>
    </w:p>
    <w:p>
      <w:pPr>
        <w:spacing w:after="0" w:line="193" w:lineRule="exact"/>
        <w:rPr>
          <w:sz w:val="20"/>
          <w:szCs w:val="20"/>
          <w:color w:val="auto"/>
        </w:rPr>
      </w:pPr>
    </w:p>
    <w:p>
      <w:pPr>
        <w:ind w:left="640" w:right="120"/>
        <w:spacing w:after="0" w:line="286" w:lineRule="auto"/>
        <w:rPr>
          <w:sz w:val="20"/>
          <w:szCs w:val="20"/>
          <w:color w:val="auto"/>
        </w:rPr>
      </w:pPr>
      <w:r>
        <w:rPr>
          <w:rFonts w:ascii="Arial" w:cs="Arial" w:eastAsia="Arial" w:hAnsi="Arial"/>
          <w:sz w:val="17"/>
          <w:szCs w:val="17"/>
          <w:i w:val="1"/>
          <w:iCs w:val="1"/>
          <w:color w:val="auto"/>
        </w:rPr>
        <w:t xml:space="preserve">Share price </w:t>
      </w:r>
      <w:r>
        <w:rPr>
          <w:rFonts w:ascii="Arial" w:cs="Arial" w:eastAsia="Arial" w:hAnsi="Arial"/>
          <w:sz w:val="17"/>
          <w:szCs w:val="17"/>
          <w:color w:val="auto"/>
        </w:rPr>
        <w:t>– Up until our initial public offering, because there had been no public market for our ordinary shares, the fair value of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underlying the options had been determined by our management, using the assistance of an independent valuation firm. Following our initial public offering, fair market value has been determined by NASDAQ Capital Market and NASDAQ Global Market quotes.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right="120" w:firstLine="389"/>
        <w:spacing w:after="0" w:line="291" w:lineRule="auto"/>
        <w:rPr>
          <w:sz w:val="20"/>
          <w:szCs w:val="20"/>
          <w:color w:val="auto"/>
        </w:rPr>
      </w:pPr>
      <w:r>
        <w:rPr>
          <w:rFonts w:ascii="Arial" w:cs="Arial" w:eastAsia="Arial" w:hAnsi="Arial"/>
          <w:sz w:val="16"/>
          <w:szCs w:val="16"/>
          <w:color w:val="auto"/>
        </w:rPr>
        <w:t>Subject to certain conditions set forth in the JOBS Act, as an “emerging growth company”, we elected to rely on other exemptions, including without limitation, (i) providing an auditor’s attestation report on our internal control over financial reporting pursuant to Section 404 of the Sarbanes-Oxley Act and</w:t>
      </w:r>
    </w:p>
    <w:p>
      <w:pPr>
        <w:ind w:right="220" w:firstLine="8"/>
        <w:spacing w:after="0" w:line="302" w:lineRule="auto"/>
        <w:tabs>
          <w:tab w:leader="none" w:pos="2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right="500" w:firstLine="405"/>
        <w:spacing w:after="0" w:line="264" w:lineRule="auto"/>
        <w:rPr>
          <w:sz w:val="20"/>
          <w:szCs w:val="20"/>
          <w:color w:val="auto"/>
        </w:rPr>
      </w:pPr>
      <w:r>
        <w:rPr>
          <w:rFonts w:ascii="Arial" w:cs="Arial" w:eastAsia="Arial" w:hAnsi="Arial"/>
          <w:sz w:val="18"/>
          <w:szCs w:val="18"/>
          <w:color w:val="auto"/>
        </w:rPr>
        <w:t>Since our inception through December 31, 2015, we have funded our operations principally with $129.6 million from the sale of ordinary shares, preferred shares and convertible notes. As of December 31, 2015, we had $16.7 million in cash and cash equivalents and an additional amount of $53.0 million in short-term and long-term bank deposits.</w:t>
      </w:r>
    </w:p>
    <w:p>
      <w:pPr>
        <w:sectPr>
          <w:pgSz w:w="11900" w:h="16838" w:orient="portrait"/>
          <w:cols w:equalWidth="0" w:num="1">
            <w:col w:w="11400"/>
          </w:cols>
          <w:pgMar w:left="240" w:top="90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579755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1437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1520" w:val="left"/>
          <w:tab w:leader="none" w:pos="268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1437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37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wp:posOffset>
            </wp:positionV>
            <wp:extent cx="21437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(18,148)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(28,326)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(7,353)</w:t>
            </w:r>
          </w:p>
        </w:tc>
      </w:tr>
      <w:tr>
        <w:trPr>
          <w:trHeight w:val="432"/>
        </w:trPr>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(33,842)</w:t>
            </w:r>
          </w:p>
        </w:tc>
        <w:tc>
          <w:tcPr>
            <w:tcW w:w="3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8,407</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(28,047)</w:t>
            </w:r>
          </w:p>
        </w:tc>
      </w:tr>
      <w:tr>
        <w:trPr>
          <w:trHeight w:val="432"/>
        </w:trPr>
        <w:tc>
          <w:tcPr>
            <w:tcW w:w="2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66,472</w:t>
            </w:r>
          </w:p>
        </w:tc>
        <w:tc>
          <w:tcPr>
            <w:tcW w:w="3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57,398</w:t>
            </w:r>
          </w:p>
        </w:tc>
      </w:tr>
      <w:tr>
        <w:trPr>
          <w:trHeight w:val="432"/>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14,482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(19,919)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21,998</w:t>
            </w:r>
          </w:p>
        </w:tc>
      </w:tr>
    </w:tbl>
    <w:p>
      <w:pPr>
        <w:spacing w:after="0" w:line="608" w:lineRule="exact"/>
        <w:rPr>
          <w:sz w:val="20"/>
          <w:szCs w:val="20"/>
          <w:color w:val="auto"/>
        </w:rPr>
      </w:pPr>
    </w:p>
    <w:p>
      <w:pPr>
        <w:sectPr>
          <w:pgSz w:w="11900" w:h="16838" w:orient="portrait"/>
          <w:cols w:equalWidth="0" w:num="2">
            <w:col w:w="4960" w:space="720"/>
            <w:col w:w="5720"/>
          </w:cols>
          <w:pgMar w:left="240" w:top="909" w:right="259" w:bottom="1440" w:gutter="0" w:footer="0" w:header="0"/>
          <w:type w:val="continuous"/>
        </w:sectPr>
      </w:pPr>
    </w:p>
    <w:p>
      <w:pPr>
        <w:spacing w:after="0" w:line="2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Net cash used in operating activities of $18.1 million during the year ended December 31, 2015 was primarily used for payment of $13.5 million for clinical trials and other third party related expenses and for professional services, $0.4 million for travel expenses, $0.5 million for rent expenses and of $3.1 million in salary payments. The remaining amount of $0.6 million was for miscellaneous expenses.</w:t>
      </w:r>
    </w:p>
    <w:p>
      <w:pPr>
        <w:spacing w:after="0" w:line="18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Net cash used in operating activities of $28.3 million during the year ended December 31, 2014 was primarily used for payment of $24.2 million for clinical trials and other third party related expenses and for professional services, $0.5 million for travel expenses and an aggregate of $3.3 million in salary payments. The remaining amount of $0.3 million was for other miscellaneous expenses.</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type w:val="continuous"/>
        </w:sectPr>
      </w:pPr>
    </w:p>
    <w:bookmarkStart w:id="49" w:name="page50"/>
    <w:bookmarkEnd w:id="49"/>
    <w:p>
      <w:pPr>
        <w:ind w:right="200" w:firstLine="405"/>
        <w:spacing w:after="0" w:line="264" w:lineRule="auto"/>
        <w:rPr>
          <w:sz w:val="20"/>
          <w:szCs w:val="20"/>
          <w:color w:val="auto"/>
        </w:rPr>
      </w:pPr>
      <w:r>
        <w:rPr>
          <w:rFonts w:ascii="Arial" w:cs="Arial" w:eastAsia="Arial" w:hAnsi="Arial"/>
          <w:sz w:val="18"/>
          <w:szCs w:val="18"/>
          <w:color w:val="auto"/>
        </w:rPr>
        <w:t>Net cash used in operating activities of $7.4 million during the year ended December 31, 2013 was primarily used for payment of $5.7 million for clinical trials and other third party related expenses and for professional services, $0.2 million for travel expenses and an aggregate of $1.3 million in salary payments. The remaining amount of $0.2 million was for other miscellaneous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Net cash used in investing activities of $33.8 million during 2015 reflected the investment of cash into short-term deposits and long term deposits in the amount of $14.5 million and $19 million, respectively, the purchase of property and equipment of $0.2 million and the investment in a restricted bank deposit of $0.1 million.</w:t>
      </w:r>
    </w:p>
    <w:p>
      <w:pPr>
        <w:spacing w:after="0" w:line="18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Net cash provided by investing activities of $8.4 million during 2014 reflected the withdrawal of short-term deposits into cash in the amount of $8.5 million and the purchase of property and equipment of $0.1 million.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used in investing activities of $28.0 million during 2013 reflected our use of cash to invest in short-term 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Net cash provided by financing activities of $66.5 million in the year ended December 31, 2015, consisted of net proceeds from two follow on public offerings. On January 14, 2015, we completed a public offering of 7,475,000 ordinary shares. The offering price was $4.00 per share, and the net proceeds to us from the sale of the shares were approximately $27.9 million. On November 18, 2015, we completed a public offering of 6,379,198 ordinary shares. The offering price was $6.50 per share, and the net proceeds to us from the sale of the shares were approximately $38.6 million.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financing activities in the year ended December 31, 2014.</w:t>
      </w:r>
    </w:p>
    <w:p>
      <w:pPr>
        <w:spacing w:after="0" w:line="225"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Net cash provided by financing activities of $57.4 million in the year ended December 31, 2013, consisted of a $21.9 million of proceeds from our initial public offering, $0.1 million of proceeds from issuance of convertible notes (that were converted into our ordinary shares at the time of our initial public offering), and $35.4 million of proceeds from a follow on public offering of our ordinary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have financed our operations to date primarily through proceeds from sales of our ordinary shares, loans and issuances of convertible notes. We have incurred losses and generated negative cash flows from operations since inception. To date, we have not generated any revenue from the sale of products and we do not expect to generate revenues from sale of our products in the next two years. We believe that we will need to raise additional funds before we have positive cash flow from operations.</w:t>
      </w:r>
    </w:p>
    <w:p>
      <w:pPr>
        <w:spacing w:after="0" w:line="187"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As of December 31, 2015, our cash, cash equivalents, short-term and long-term deposits totaled $69.7 million. Our current investment policy has the following objectives: (i) preserve principal (capital); (ii) maintain liquidity in accordance with cash flow requirements; and (iii) maximize the rate of return within the stated guidelines in the policy. To achieve these goals, we invest available cash in bank deposits with banks that have a credit rating of at least Baa1/BBB+ and in tradable securities with high credit quality and trading liquidity, including U.S. Treasury bonds, money market funds, and corporate debt instruments that carry a rating of A2/A or better. As of December 31, 2015, we did not hold any tradable securities in our investment portfolio. Our cash management is monitored by the Audit Committee.</w:t>
      </w:r>
    </w:p>
    <w:p>
      <w:pPr>
        <w:spacing w:after="0" w:line="19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believe that our existing cash resources will be sufficient to fund our projected cash requirements approximately through 2017, including the cost of our ongoing Phase 3 trial in adult ADHD and our planned registration study in pediatric ADHD, as well as a registration study in Fragile X. Nevertheless, we will require significant additional financing in the future to fund our operations, clinical development plan, and to commercialize MDX after we obtain regulatory approval. Our future capital requirements will depend on many factors, including:</w:t>
      </w:r>
    </w:p>
    <w:p>
      <w:pPr>
        <w:spacing w:after="0" w:line="173" w:lineRule="exact"/>
        <w:rPr>
          <w:sz w:val="20"/>
          <w:szCs w:val="20"/>
          <w:color w:val="auto"/>
        </w:rPr>
      </w:pPr>
    </w:p>
    <w:p>
      <w:pPr>
        <w:ind w:left="920" w:hanging="453"/>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cost that we may incur under in- and out-licensing arrangements relating to our drug candidate that we may enter into in the future;</w:t>
      </w:r>
    </w:p>
    <w:p>
      <w:pPr>
        <w:spacing w:after="0" w:line="223" w:lineRule="exact"/>
        <w:rPr>
          <w:rFonts w:ascii="Arial" w:cs="Arial" w:eastAsia="Arial" w:hAnsi="Arial"/>
          <w:sz w:val="17"/>
          <w:szCs w:val="17"/>
          <w:color w:val="auto"/>
        </w:rPr>
      </w:pPr>
    </w:p>
    <w:p>
      <w:pPr>
        <w:ind w:left="920" w:hanging="453"/>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our drug candidate;</w:t>
      </w:r>
    </w:p>
    <w:p>
      <w:pPr>
        <w:spacing w:after="0" w:line="211" w:lineRule="exact"/>
        <w:rPr>
          <w:rFonts w:ascii="Arial" w:cs="Arial" w:eastAsia="Arial" w:hAnsi="Arial"/>
          <w:sz w:val="18"/>
          <w:szCs w:val="18"/>
          <w:color w:val="auto"/>
        </w:rPr>
      </w:pPr>
    </w:p>
    <w:p>
      <w:pPr>
        <w:ind w:left="920" w:hanging="453"/>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198" w:lineRule="exact"/>
        <w:rPr>
          <w:rFonts w:ascii="Arial" w:cs="Arial" w:eastAsia="Arial" w:hAnsi="Arial"/>
          <w:sz w:val="18"/>
          <w:szCs w:val="18"/>
          <w:color w:val="auto"/>
        </w:rPr>
      </w:pPr>
    </w:p>
    <w:p>
      <w:pPr>
        <w:ind w:left="920" w:right="260" w:hanging="453"/>
        <w:spacing w:after="0" w:line="246"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and timing for, strengthening our manufacturing agreements for production of sufficient clinical and commercial quantities of our drug candidate;</w:t>
      </w:r>
    </w:p>
    <w:p>
      <w:pPr>
        <w:spacing w:after="0" w:line="169" w:lineRule="exact"/>
        <w:rPr>
          <w:rFonts w:ascii="Arial" w:cs="Arial" w:eastAsia="Arial" w:hAnsi="Arial"/>
          <w:sz w:val="18"/>
          <w:szCs w:val="18"/>
          <w:color w:val="auto"/>
        </w:rPr>
      </w:pPr>
    </w:p>
    <w:p>
      <w:pPr>
        <w:ind w:left="920" w:hanging="453"/>
        <w:spacing w:after="0"/>
        <w:tabs>
          <w:tab w:leader="none" w:pos="9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potential costs of contracting with third parties to provide marketing and distribution services for us or for building such capacities internally;</w:t>
      </w: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920" w:right="260" w:hanging="453"/>
        <w:spacing w:after="0" w:line="246"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acquiring or undertaking the development and commercialization efforts for additional, future therapeutic applications of our drug candidate;</w:t>
      </w:r>
    </w:p>
    <w:p>
      <w:pPr>
        <w:spacing w:after="0" w:line="169" w:lineRule="exact"/>
        <w:rPr>
          <w:rFonts w:ascii="Arial" w:cs="Arial" w:eastAsia="Arial" w:hAnsi="Arial"/>
          <w:sz w:val="18"/>
          <w:szCs w:val="18"/>
          <w:color w:val="auto"/>
        </w:rPr>
      </w:pPr>
    </w:p>
    <w:p>
      <w:pPr>
        <w:ind w:left="920" w:hanging="453"/>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magnitude of our general and administrative expenses; and</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payments to the OCS.</w:t>
      </w:r>
    </w:p>
    <w:p>
      <w:pPr>
        <w:spacing w:after="0" w:line="212"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Until we can generate significant recurring revenues, we expect to satisfy our future cash needs through our existing cash, cash equivalents and short-term deposits,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w:t>
      </w:r>
    </w:p>
    <w:p>
      <w:pPr>
        <w:spacing w:after="0" w:line="1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5.E</w:t>
      </w:r>
      <w:r>
        <w:rPr>
          <w:sz w:val="20"/>
          <w:szCs w:val="20"/>
          <w:color w:val="auto"/>
        </w:rPr>
        <w:tab/>
      </w:r>
      <w:r>
        <w:rPr>
          <w:rFonts w:ascii="Arial" w:cs="Arial" w:eastAsia="Arial" w:hAnsi="Arial"/>
          <w:sz w:val="16"/>
          <w:szCs w:val="16"/>
          <w:b w:val="1"/>
          <w:bCs w:val="1"/>
          <w:color w:val="auto"/>
        </w:rPr>
        <w:t>Off-Balance Sheet Arrangements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do not have any off-balance sheet arrangements.</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5.F</w:t>
      </w:r>
      <w:r>
        <w:rPr>
          <w:sz w:val="20"/>
          <w:szCs w:val="20"/>
          <w:color w:val="auto"/>
        </w:rPr>
        <w:tab/>
      </w:r>
      <w:r>
        <w:rPr>
          <w:rFonts w:ascii="Arial" w:cs="Arial" w:eastAsia="Arial" w:hAnsi="Arial"/>
          <w:sz w:val="16"/>
          <w:szCs w:val="16"/>
          <w:b w:val="1"/>
          <w:bCs w:val="1"/>
          <w:color w:val="auto"/>
        </w:rPr>
        <w:t>Contractual Obligations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obligations at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w w:val="92"/>
              </w:rPr>
              <w:t>Less than 1</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More than 5</w:t>
            </w:r>
          </w:p>
        </w:tc>
      </w:tr>
      <w:tr>
        <w:trPr>
          <w:trHeight w:val="230"/>
        </w:trPr>
        <w:tc>
          <w:tcPr>
            <w:tcW w:w="4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year</w:t>
            </w:r>
          </w:p>
        </w:tc>
        <w:tc>
          <w:tcPr>
            <w:tcW w:w="30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w w:val="98"/>
              </w:rPr>
              <w:t>1-3 years</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4-5 years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years</w:t>
            </w:r>
          </w:p>
        </w:tc>
      </w:tr>
      <w:tr>
        <w:trPr>
          <w:trHeight w:val="210"/>
        </w:trPr>
        <w:tc>
          <w:tcPr>
            <w:tcW w:w="4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(in thousands)</w:t>
            </w:r>
          </w:p>
        </w:tc>
        <w:tc>
          <w:tcPr>
            <w:tcW w:w="14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Facility</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1,100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511</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589</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6.A.</w:t>
      </w:r>
      <w:r>
        <w:rPr>
          <w:sz w:val="20"/>
          <w:szCs w:val="20"/>
          <w:color w:val="auto"/>
        </w:rPr>
        <w:tab/>
      </w:r>
      <w:r>
        <w:rPr>
          <w:rFonts w:ascii="Arial" w:cs="Arial" w:eastAsia="Arial" w:hAnsi="Arial"/>
          <w:sz w:val="16"/>
          <w:szCs w:val="16"/>
          <w:b w:val="1"/>
          <w:bCs w:val="1"/>
          <w:color w:val="auto"/>
        </w:rPr>
        <w:t>Directors and senior management</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March 1,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Age</w:t>
            </w:r>
          </w:p>
        </w:tc>
        <w:tc>
          <w:tcPr>
            <w:tcW w:w="220" w:type="dxa"/>
            <w:vAlign w:val="bottom"/>
          </w:tcPr>
          <w:p>
            <w:pPr>
              <w:spacing w:after="0"/>
              <w:rPr>
                <w:sz w:val="19"/>
                <w:szCs w:val="19"/>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385"/>
        </w:trPr>
        <w:tc>
          <w:tcPr>
            <w:tcW w:w="3560" w:type="dxa"/>
            <w:vAlign w:val="bottom"/>
            <w:gridSpan w:val="2"/>
          </w:tcPr>
          <w:p>
            <w:pPr>
              <w:spacing w:after="0"/>
              <w:rPr>
                <w:sz w:val="20"/>
                <w:szCs w:val="20"/>
                <w:color w:val="auto"/>
              </w:rPr>
            </w:pPr>
            <w:r>
              <w:rPr>
                <w:rFonts w:ascii="Arial" w:cs="Arial" w:eastAsia="Arial" w:hAnsi="Arial"/>
                <w:sz w:val="18"/>
                <w:szCs w:val="18"/>
                <w:color w:val="auto"/>
              </w:rPr>
              <w:t>Howard B. Rosen (1)</w:t>
            </w:r>
          </w:p>
        </w:tc>
        <w:tc>
          <w:tcPr>
            <w:tcW w:w="680" w:type="dxa"/>
            <w:vAlign w:val="bottom"/>
          </w:tcPr>
          <w:p>
            <w:pPr>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Daniel E. Geffken (1)</w:t>
            </w:r>
          </w:p>
        </w:tc>
        <w:tc>
          <w:tcPr>
            <w:tcW w:w="680" w:type="dxa"/>
            <w:vAlign w:val="bottom"/>
          </w:tcPr>
          <w:p>
            <w:pPr>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Dr. Joao Siffert (1)</w:t>
            </w:r>
          </w:p>
        </w:tc>
        <w:tc>
          <w:tcPr>
            <w:tcW w:w="68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Dr. Aharon Schwartz (1)</w:t>
            </w:r>
          </w:p>
        </w:tc>
        <w:tc>
          <w:tcPr>
            <w:tcW w:w="680" w:type="dxa"/>
            <w:vAlign w:val="bottom"/>
          </w:tcPr>
          <w:p>
            <w:pPr>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Dr. Hadas Gelander (1) (2) (3)</w:t>
            </w:r>
          </w:p>
        </w:tc>
        <w:tc>
          <w:tcPr>
            <w:tcW w:w="680" w:type="dxa"/>
            <w:vAlign w:val="bottom"/>
          </w:tcPr>
          <w:p>
            <w:pPr>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Arieh Ben Yosef (1) (2) (3)</w:t>
            </w:r>
          </w:p>
        </w:tc>
        <w:tc>
          <w:tcPr>
            <w:tcW w:w="680" w:type="dxa"/>
            <w:vAlign w:val="bottom"/>
          </w:tcPr>
          <w:p>
            <w:pPr>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Ori Mor (1) (2) (3)</w:t>
            </w:r>
          </w:p>
        </w:tc>
        <w:tc>
          <w:tcPr>
            <w:tcW w:w="680" w:type="dxa"/>
            <w:vAlign w:val="bottom"/>
          </w:tcPr>
          <w:p>
            <w:pP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Dr. Yaron Daniely</w:t>
            </w:r>
          </w:p>
        </w:tc>
        <w:tc>
          <w:tcPr>
            <w:tcW w:w="680" w:type="dxa"/>
            <w:vAlign w:val="bottom"/>
          </w:tcPr>
          <w:p>
            <w:pPr>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Dr. Tomer Berkovitz</w:t>
            </w:r>
          </w:p>
        </w:tc>
        <w:tc>
          <w:tcPr>
            <w:tcW w:w="680" w:type="dxa"/>
            <w:vAlign w:val="bottom"/>
          </w:tcPr>
          <w:p>
            <w:pPr>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Chief Financial Officer, Chief Operating Officer</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David Baker</w:t>
            </w:r>
          </w:p>
        </w:tc>
        <w:tc>
          <w:tcPr>
            <w:tcW w:w="680" w:type="dxa"/>
            <w:vAlign w:val="bottom"/>
          </w:tcPr>
          <w:p>
            <w:pPr>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Dr. Jonathan Rubin</w:t>
            </w:r>
          </w:p>
        </w:tc>
        <w:tc>
          <w:tcPr>
            <w:tcW w:w="680" w:type="dxa"/>
            <w:vAlign w:val="bottom"/>
          </w:tcPr>
          <w:p>
            <w:pPr>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Hanna Ron</w:t>
            </w:r>
          </w:p>
        </w:tc>
        <w:tc>
          <w:tcPr>
            <w:tcW w:w="680" w:type="dxa"/>
            <w:vAlign w:val="bottom"/>
          </w:tcPr>
          <w:p>
            <w:pPr>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SVP Chemistry, Manufacturing and Control</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Dr. Johanna Schumann</w:t>
            </w:r>
          </w:p>
        </w:tc>
        <w:tc>
          <w:tcPr>
            <w:tcW w:w="680" w:type="dxa"/>
            <w:vAlign w:val="bottom"/>
          </w:tcPr>
          <w:p>
            <w:pPr>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SVP Preclinical Development</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Dr. Hagit Marchaim</w:t>
            </w:r>
          </w:p>
        </w:tc>
        <w:tc>
          <w:tcPr>
            <w:tcW w:w="680" w:type="dxa"/>
            <w:vAlign w:val="bottom"/>
          </w:tcPr>
          <w:p>
            <w:pP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SVP Regulatory Affairs</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Irena Katsman</w:t>
            </w:r>
          </w:p>
        </w:tc>
        <w:tc>
          <w:tcPr>
            <w:tcW w:w="680" w:type="dxa"/>
            <w:vAlign w:val="bottom"/>
          </w:tcPr>
          <w:p>
            <w:pPr>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VP Finance</w:t>
            </w:r>
          </w:p>
        </w:tc>
      </w:tr>
      <w:tr>
        <w:trPr>
          <w:trHeight w:val="378"/>
        </w:trPr>
        <w:tc>
          <w:tcPr>
            <w:tcW w:w="3560" w:type="dxa"/>
            <w:vAlign w:val="bottom"/>
            <w:gridSpan w:val="2"/>
          </w:tcPr>
          <w:p>
            <w:pPr>
              <w:spacing w:after="0"/>
              <w:rPr>
                <w:sz w:val="20"/>
                <w:szCs w:val="20"/>
                <w:color w:val="auto"/>
              </w:rPr>
            </w:pPr>
            <w:r>
              <w:rPr>
                <w:rFonts w:ascii="Arial" w:cs="Arial" w:eastAsia="Arial" w:hAnsi="Arial"/>
                <w:sz w:val="18"/>
                <w:szCs w:val="18"/>
                <w:color w:val="auto"/>
              </w:rPr>
              <w:t>Shlomi Ianovitz</w:t>
            </w:r>
          </w:p>
        </w:tc>
        <w:tc>
          <w:tcPr>
            <w:tcW w:w="680" w:type="dxa"/>
            <w:vAlign w:val="bottom"/>
          </w:tcPr>
          <w:p>
            <w:pPr>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 Quality Assurance</w:t>
            </w:r>
          </w:p>
        </w:tc>
      </w:tr>
    </w:tbl>
    <w:p>
      <w:pPr>
        <w:spacing w:after="0" w:line="188" w:lineRule="exact"/>
        <w:rPr>
          <w:sz w:val="20"/>
          <w:szCs w:val="20"/>
          <w:color w:val="auto"/>
        </w:rPr>
      </w:pPr>
    </w:p>
    <w:p>
      <w:pPr>
        <w:ind w:left="920" w:hanging="453"/>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independent director under NASDAQ rules.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0" w:gutter="0" w:footer="0" w:header="0"/>
        </w:sectPr>
      </w:pPr>
    </w:p>
    <w:bookmarkStart w:id="51" w:name="page52"/>
    <w:bookmarkEnd w:id="51"/>
    <w:p>
      <w:pPr>
        <w:ind w:firstLine="405"/>
        <w:spacing w:after="0" w:line="286" w:lineRule="auto"/>
        <w:rPr>
          <w:sz w:val="20"/>
          <w:szCs w:val="20"/>
          <w:color w:val="auto"/>
        </w:rPr>
      </w:pPr>
      <w:r>
        <w:rPr>
          <w:rFonts w:ascii="Arial" w:cs="Arial" w:eastAsia="Arial" w:hAnsi="Arial"/>
          <w:sz w:val="16"/>
          <w:szCs w:val="16"/>
          <w:i w:val="1"/>
          <w:iCs w:val="1"/>
          <w:color w:val="auto"/>
        </w:rPr>
        <w:t xml:space="preserve">Howard B. Rosen </w:t>
      </w:r>
      <w:r>
        <w:rPr>
          <w:rFonts w:ascii="Arial" w:cs="Arial" w:eastAsia="Arial" w:hAnsi="Arial"/>
          <w:sz w:val="16"/>
          <w:szCs w:val="16"/>
          <w:color w:val="auto"/>
        </w:rPr>
        <w:t>has served on our Board since the closing of our initial public offering in May 2013 and as our Chairman since February 2014. Since</w:t>
      </w:r>
      <w:r>
        <w:rPr>
          <w:rFonts w:ascii="Arial" w:cs="Arial" w:eastAsia="Arial" w:hAnsi="Arial"/>
          <w:sz w:val="16"/>
          <w:szCs w:val="16"/>
          <w:i w:val="1"/>
          <w:iCs w:val="1"/>
          <w:color w:val="auto"/>
        </w:rPr>
        <w:t xml:space="preserve"> </w:t>
      </w:r>
      <w:r>
        <w:rPr>
          <w:rFonts w:ascii="Arial" w:cs="Arial" w:eastAsia="Arial" w:hAnsi="Arial"/>
          <w:sz w:val="16"/>
          <w:szCs w:val="16"/>
          <w:color w:val="auto"/>
        </w:rPr>
        <w:t>2008, Mr. Rosen has served as a consultant to several companies in the biotechnology industry. He has also served as a lecturer at Stanford University in Chemical Engineering since 2008 and in Management since 2011. Mr. Rosen has served as interim CEO of AcelRx Pharmaceuticals (Nasdaq: ACRX), Inc., a company developing products for pain relief, since April 2015 and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From 2003 until 2004, Mr. Rosen was President of ALZA Corporation, a pharmaceutical and medical systems company that merged with Johnson &amp; Johnson, a global healthcare company, in 2001. Prior to that, from 1994 until 2003, Mr. Rosen held various positions at ALZA Corporation. Mr. Rosen is also a member of the board of directors of AcelRx Pharmaceuticals, Inc and a number of private biotechnology companies as follows: Entrega, Inc. and Kala Pharmaceuticals, Inc.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75"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i w:val="1"/>
          <w:iCs w:val="1"/>
          <w:color w:val="auto"/>
        </w:rPr>
        <w:t xml:space="preserve">Daniel E. Geffken </w:t>
      </w:r>
      <w:r>
        <w:rPr>
          <w:rFonts w:ascii="Arial" w:cs="Arial" w:eastAsia="Arial" w:hAnsi="Arial"/>
          <w:sz w:val="16"/>
          <w:szCs w:val="16"/>
          <w:color w:val="auto"/>
        </w:rPr>
        <w:t>has served on our Board since our initial public offering in May 2013. Since October 2011, he has been Managing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154"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i w:val="1"/>
          <w:iCs w:val="1"/>
          <w:color w:val="auto"/>
        </w:rPr>
        <w:t xml:space="preserve">Dr. Joao Siffert </w:t>
      </w:r>
      <w:r>
        <w:rPr>
          <w:rFonts w:ascii="Arial" w:cs="Arial" w:eastAsia="Arial" w:hAnsi="Arial"/>
          <w:sz w:val="16"/>
          <w:szCs w:val="16"/>
          <w:color w:val="auto"/>
        </w:rPr>
        <w:t>joined our Board in July 2015. Since August 2011, Dr. Siffert has led the Research and Development Organization at Avanir</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a specialty pharmaceutical company focused on development and commercialization of neurology products. Dr. Siffert is currently the Executive Vice President, R&amp;D and Chief Medical Officer, responsible for R&amp;D, regulatory, quality, CMC and commercial supply, as well as medical affairs and pharmacovigilance. Prior to joining Avanir, Dr. Siffert served as Vice President and Chief Medical Officer at Ceregene, Inc., a biotechnology company focused on the development of neurotrophic gene therapies for Alzheimer’s and Parkinson’s diseases, from September 2007 to August 2011. Prior to his work at Ceregene, Dr. Siffert served as the Chief Medical Officer at Avera Pharmaceuticals, a specialty pharmaceutical company, from May 2005 to September 2007. Prior to joining Avera, Dr. Siffert held positions with Pfizer (from February 2002 to May 2005) first as a medical director for Relpax and subsequently as the worldwide medical team leader of Lyrica and Neurontin, focusing in areas of pain and epilepsy. Prior to Pfizer, Dr. Siffert held academic positions at Beth Israel Medical Center, NY where he served as director of the Adult Neuro-Oncology program, and Albert Einstein College of Medicine, where he was an assistant professor of neurology. Dr. Siffert completed residencies in pediatrics at New York University School of Medicine and in neurology at Harvard Medical School. Dr. Siffert was certified by the American Board of Neurology and Psychiatry in 1996. He holds an M.D. from the University of Sao Paulo School of Medicine, Brazil as well as an M.B.A. from Columbia University Graduate School of Business.</w:t>
      </w:r>
    </w:p>
    <w:p>
      <w:pPr>
        <w:spacing w:after="0" w:line="16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Dr. Aharon Schwartz </w:t>
      </w:r>
      <w:r>
        <w:rPr>
          <w:rFonts w:ascii="Arial" w:cs="Arial" w:eastAsia="Arial" w:hAnsi="Arial"/>
          <w:sz w:val="18"/>
          <w:szCs w:val="18"/>
          <w:color w:val="auto"/>
        </w:rPr>
        <w:t>joined our Board as Chairman in January 2013, serving as our chairman until February 2014. He retired from Teva 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Ltd where he served in a number of positions from 1957 through 2011, the most recent being Vice President, Head of Teva Innovative Ventures from 2008. He is also the chairman of the board of directors of BioLineRx Ltd., BioCancell Therapeutics Inc., CureTech Ltd. and several other biotechnology companies. Dr. Schwartz received his Ph.D. in Organic Chemistry from the Weizmann Institute, his M.Sc. in organic chemistry from the Technion Institute of Technology and a B.Sc. in Chemistry and Physics from the Hebrew University of Jerusalem. He has received a second Ph.D. in the History and Philosophy of Science from the Hebrew University of Jerusalem.</w:t>
      </w:r>
    </w:p>
    <w:p>
      <w:pPr>
        <w:spacing w:after="0" w:line="19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 xml:space="preserve">Dr. Hadas Gelander </w:t>
      </w:r>
      <w:r>
        <w:rPr>
          <w:rFonts w:ascii="Arial" w:cs="Arial" w:eastAsia="Arial" w:hAnsi="Arial"/>
          <w:sz w:val="18"/>
          <w:szCs w:val="18"/>
          <w:color w:val="auto"/>
        </w:rPr>
        <w:t>serves as one of our external directors, a member of our Audit Committee and the Chairperson of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Dr. Gelander currently serves as the Head of the Accounting Department at the College of Management, Academic Studies, School of Business Administration where she is also a professor. Dr. Gelander serves as an Independent Director on the Boards of Infimer Technologies Ltd. (TASE: INFR), Eldav (TASE: ELDAV), Gindi Investments, Hilan, Leumi Partners Underwriters, arm of Leumi Partners (merchant and investment banking arm of Leumi and Direct Capital) and Ashtrom Properties. Dr. Gelander is a certified public accountant and since 2000 has served on the Israeli Council of Public Accountants, or CPA, where she is the Coordinator of Examinations of the Israeli CPA. Dr. Gelander earned her Ph.D. summa cum laude from Ben Gurion University, an MBA in Accounting and Finance from the Hebrew University of Jerusalem, and a Bachelor of Business degree from the College of Management Academic Studies.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2" w:name="page53"/>
    <w:bookmarkEnd w:id="52"/>
    <w:p>
      <w:pPr>
        <w:ind w:right="100" w:firstLine="405"/>
        <w:spacing w:after="0" w:line="272" w:lineRule="auto"/>
        <w:rPr>
          <w:sz w:val="20"/>
          <w:szCs w:val="20"/>
          <w:color w:val="auto"/>
        </w:rPr>
      </w:pPr>
      <w:r>
        <w:rPr>
          <w:rFonts w:ascii="Arial" w:cs="Arial" w:eastAsia="Arial" w:hAnsi="Arial"/>
          <w:sz w:val="17"/>
          <w:szCs w:val="17"/>
          <w:i w:val="1"/>
          <w:iCs w:val="1"/>
          <w:color w:val="auto"/>
        </w:rPr>
        <w:t xml:space="preserve">Arieh Ben Yosef </w:t>
      </w:r>
      <w:r>
        <w:rPr>
          <w:rFonts w:ascii="Arial" w:cs="Arial" w:eastAsia="Arial" w:hAnsi="Arial"/>
          <w:sz w:val="17"/>
          <w:szCs w:val="17"/>
          <w:color w:val="auto"/>
        </w:rPr>
        <w:t>joined our Board in May 2014. Mr. Ben Yosef has served as a director of Insuline Medical Ltd. (TASE: INSL) since October 2010,</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focused on improving the performance of current insulin treatment methods. From 2014 to 2015, Mr. Ben Yosef served as the Chief Financial Officer of Yazamtech Ltd. From August 2000 to July 2014, Mr. Ben Yosef served as a director of Microwave Networks Inc., a provider of microwave communications products and services. From 2006 to 2012, Mr. Ben Yosef was employed by Teledata Networks Ltd., a global provider of access network products and solutions for Telecom Service Providers, in the positions of Chief Financial Officer, Executive Vice President for Finance &amp; Operations and later on as the General Manager of the company. From 2000 to 2004, Mr. Ben Yosef served as the President of Elisra Inc. and from 1998 to 2000 as the CFO of Tadiran Electronic Industries Inc. Mr. Ben Yosef holds an M.B.A. from the Hebrew University of Jerusalem.</w:t>
      </w:r>
    </w:p>
    <w:p>
      <w:pPr>
        <w:spacing w:after="0" w:line="178"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i w:val="1"/>
          <w:iCs w:val="1"/>
          <w:color w:val="auto"/>
        </w:rPr>
        <w:t xml:space="preserve">Ori Mor </w:t>
      </w:r>
      <w:r>
        <w:rPr>
          <w:rFonts w:ascii="Arial" w:cs="Arial" w:eastAsia="Arial" w:hAnsi="Arial"/>
          <w:sz w:val="17"/>
          <w:szCs w:val="17"/>
          <w:color w:val="auto"/>
        </w:rPr>
        <w:t>serves as one of our external directors, a member of our Compensation Committee and the Chairperson of our Audit Committee. Mr. Mor</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founded and currently serves as the Chief Executive Officer of Mor-Langerman Ltd., a capital market advisory firm. Mr. Mor served as the CFO of Medical Compression Systems Ltd. (TASE: MDCL), a leader in innovative, non-invasive solutions for the prevention of venous thromboembolism (VTE), from 2009 to 2014. Mr. Mor also serves as an External Director on the Boards of Birman Wood &amp; Hardware Ltd. (TASE: BIRM), Angel Ltd, and as an external director and a chairperson of the investment committee of Excellence Nessuah Gemel &amp; Pension Ltd. and as Chairperson of the Board of Mordechai Aviv Taasiot Beniy Ltd. (TASE: AVIV). Mr. Mor previously served as CIO at Halman Aldubi and FIBI Provident Fund and has worked as a macro analyst at the Provident Funds of Bank Leumi and Mizrahi Bank. Mr. Mor is also a member of the Board of the Israeli Association of Publicly Traded Companies. He holds an M.A. in Economics from Ben Gurion University.</w:t>
      </w:r>
    </w:p>
    <w:p>
      <w:pPr>
        <w:spacing w:after="0" w:line="179"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i w:val="1"/>
          <w:iCs w:val="1"/>
          <w:color w:val="auto"/>
        </w:rPr>
        <w:t xml:space="preserve">Dr. Yaron Daniely </w:t>
      </w:r>
      <w:r>
        <w:rPr>
          <w:rFonts w:ascii="Arial" w:cs="Arial" w:eastAsia="Arial" w:hAnsi="Arial"/>
          <w:sz w:val="17"/>
          <w:szCs w:val="17"/>
          <w:color w:val="auto"/>
        </w:rPr>
        <w:t>became our President and Chief Executive Officer and a Director in March 2010. Immediately prior to joining us and since 2007, Dr.</w:t>
      </w:r>
      <w:r>
        <w:rPr>
          <w:rFonts w:ascii="Arial" w:cs="Arial" w:eastAsia="Arial" w:hAnsi="Arial"/>
          <w:sz w:val="17"/>
          <w:szCs w:val="17"/>
          <w:i w:val="1"/>
          <w:iCs w:val="1"/>
          <w:color w:val="auto"/>
        </w:rPr>
        <w:t xml:space="preserve"> </w:t>
      </w:r>
      <w:r>
        <w:rPr>
          <w:rFonts w:ascii="Arial" w:cs="Arial" w:eastAsia="Arial" w:hAnsi="Arial"/>
          <w:sz w:val="17"/>
          <w:szCs w:val="17"/>
          <w:color w:val="auto"/>
        </w:rPr>
        <w:t>Daniely was the President and Chief Executive Officer of NanoCyte, Inc., a company that develops transdermal delivery technologies based in Caesarea, Israel. Before NanoCyte and from 2004, Dr. Daniely was the General Manager of Gamida Cell—Teva Joint Venture Ltd., a joint venture company that acquired an exclusive license to develop and commercialize a Phase 3-stage cell therapy product for treatment of Leukemia and Lymphoma based in Jerusalem, Israel. From 2003-2007, Dr. Daniely also served as the Vice President of Business Development of Gamida Cell Ltd., and engaged in several licensing and financial transactions for the Company. In addition, he is a director of Bioblast Ltd, a private company incorporated in Israel.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78"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i w:val="1"/>
          <w:iCs w:val="1"/>
          <w:color w:val="auto"/>
        </w:rPr>
        <w:t xml:space="preserve">Dr. Tomer Berkovitz </w:t>
      </w:r>
      <w:r>
        <w:rPr>
          <w:rFonts w:ascii="Arial" w:cs="Arial" w:eastAsia="Arial" w:hAnsi="Arial"/>
          <w:sz w:val="17"/>
          <w:szCs w:val="17"/>
          <w:color w:val="auto"/>
        </w:rPr>
        <w:t>joined Alcobra in May 2014 as the Chief Financial Officer and in January 2016 was appointed to the additional position of Chief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Officer. Immediately prior to joining Alcobra, and from 2008, he was an Executive Director in J.P. Morgan’s Investment Banking Division in New York, where he played a leading role in numerous capital market and mergers and acquisitions transactions. In this capacity, he advised senior management and boards of directors of J.P. Morgan's key U.S. clients, including several S&amp;P 500 healthcare firms. Prior to joining J.P. Morgan, Dr. Berkovitz worked in Citigroup's Investment Bank in New York</w:t>
      </w:r>
      <w:r>
        <w:rPr>
          <w:rFonts w:ascii="Arial" w:cs="Arial" w:eastAsia="Arial" w:hAnsi="Arial"/>
          <w:sz w:val="17"/>
          <w:szCs w:val="17"/>
          <w:color w:val="676767"/>
        </w:rPr>
        <w:t>.</w:t>
      </w:r>
      <w:r>
        <w:rPr>
          <w:rFonts w:ascii="Arial" w:cs="Arial" w:eastAsia="Arial" w:hAnsi="Arial"/>
          <w:sz w:val="17"/>
          <w:szCs w:val="17"/>
          <w:color w:val="auto"/>
        </w:rPr>
        <w:t xml:space="preserve"> From 2000 to 2003, he served as an economist in the Financial Advisory Unit to the Chief of Staff of the Israel Defense Forces. Dr. Berkovitz holds a Ph.D. in Finance and Economics from Columbia Business School and has published a number of corporate finance articles in leading academic and practitioner journals. He also holds an M.Sc. in Finance and Accounting and a B.A. in Economics and Management, both from Tel-Aviv University.</w:t>
      </w:r>
    </w:p>
    <w:p>
      <w:pPr>
        <w:spacing w:after="0" w:line="17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i w:val="1"/>
          <w:iCs w:val="1"/>
          <w:color w:val="auto"/>
        </w:rPr>
        <w:t xml:space="preserve">David Baker </w:t>
      </w:r>
      <w:r>
        <w:rPr>
          <w:rFonts w:ascii="Arial" w:cs="Arial" w:eastAsia="Arial" w:hAnsi="Arial"/>
          <w:sz w:val="16"/>
          <w:szCs w:val="16"/>
          <w:color w:val="auto"/>
        </w:rPr>
        <w:t>serves as our Chief Commercial Officer. He joined us in January 2014 after working at Shire Pharmaceuticals for ten years, most recently</w:t>
      </w:r>
      <w:r>
        <w:rPr>
          <w:rFonts w:ascii="Arial" w:cs="Arial" w:eastAsia="Arial" w:hAnsi="Arial"/>
          <w:sz w:val="16"/>
          <w:szCs w:val="16"/>
          <w:i w:val="1"/>
          <w:iCs w:val="1"/>
          <w:color w:val="auto"/>
        </w:rPr>
        <w:t xml:space="preserve"> </w:t>
      </w:r>
      <w:r>
        <w:rPr>
          <w:rFonts w:ascii="Arial" w:cs="Arial" w:eastAsia="Arial" w:hAnsi="Arial"/>
          <w:sz w:val="16"/>
          <w:szCs w:val="16"/>
          <w:color w:val="auto"/>
        </w:rPr>
        <w:t>as Vice President of Commercial Strategy and New Business in the Neuroscience Business Unit. In this role he led the commercial assessment of neuroscience licensing opportunities, managed commercial efforts on pipeline CNS products, and led the long term strategic planning process. Previously, he served as Global General Manager for Vyvanse® where he led the launch of Vyvanse in 2007, oversaw the launch of the adult indication for Vyvanse in 2008, and led global expansion efforts to take Shire's ADHD portfolio beyond North America including successful establishment of a partnership in Japan and launches in Canada and Brazil. Prior to that, Mr. Baker served as Vice President of Marketing for all of Shire's ADHD products. Under his leadership, Adderall XR became the number one selling ADHD brand in the US. From 1990 - 2004, Mr. Baker worked at Merck where he held positions of increasing responsibility in marketing, sales, market research, and business development. In addition to his knowledge and experience with CNS medications, Mr. Baker's therapeutic expertise includes osteoporosis, migraine, and hyperlipidemia. He has been directly involved with the marketing of five leading prescription drugs with annual sales in excess of $1 billion each: Mevacor®, Zocor®, Fosamax®, Adderall XR, and Vyvanse. He holds a bachelor's degree in Economics and Computer Science from Duke University and an M.B.A in Marketing from Duke's Fuqua School of Business.</w:t>
      </w:r>
    </w:p>
    <w:p>
      <w:pPr>
        <w:spacing w:after="0" w:line="173"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i w:val="1"/>
          <w:iCs w:val="1"/>
          <w:color w:val="auto"/>
        </w:rPr>
        <w:t xml:space="preserve">Dr. Jonathan Rubin </w:t>
      </w:r>
      <w:r>
        <w:rPr>
          <w:rFonts w:ascii="Arial" w:cs="Arial" w:eastAsia="Arial" w:hAnsi="Arial"/>
          <w:sz w:val="16"/>
          <w:szCs w:val="16"/>
          <w:color w:val="auto"/>
        </w:rPr>
        <w:t>serves as our Chief Medical Officer. He joined us in August 2013 after working at Shire Pharmaceuticals for more than six years,</w:t>
      </w:r>
      <w:r>
        <w:rPr>
          <w:rFonts w:ascii="Arial" w:cs="Arial" w:eastAsia="Arial" w:hAnsi="Arial"/>
          <w:sz w:val="16"/>
          <w:szCs w:val="16"/>
          <w:i w:val="1"/>
          <w:iCs w:val="1"/>
          <w:color w:val="auto"/>
        </w:rPr>
        <w:t xml:space="preserve"> </w:t>
      </w:r>
      <w:r>
        <w:rPr>
          <w:rFonts w:ascii="Arial" w:cs="Arial" w:eastAsia="Arial" w:hAnsi="Arial"/>
          <w:sz w:val="16"/>
          <w:szCs w:val="16"/>
          <w:color w:val="auto"/>
        </w:rPr>
        <w:t>from 2007 through 2013, serving as a Medical Director in Global Medical Affairs supporting multiple products within the ADHD portfolio. As a Medical Director in Global Medical Affairs at Shire Pharmaceuticals, Dr. Rubin developed and implemented Global Medical Affairs strategic plans, planned and supervised medical launch activities in the United States and assisted with the design, execution and interpretation of Phase 2, 3 and Phase 4 studies. Dr. Rubin also served as the Director of Scientific Licensing Assessment at Shire Pharmaceuticals in 2011 where he identified and evaluated new opportunities for business development. Dr. Rubin began his pharmaceutical industry career as a medical consultant for Noven Pharmaceuticals in 2002. Until 2007 Dr. Rubin cared for children and adolescents with ADHD for 15 years at his General and Developmental-Behavioral Pediatric practice in Margate and Coconut Creek, Florida. He graduated with a B.S. from Yale University and an M.D. from the University of Connecticut, completed a pediatric residency at Albert Einstein/Montefiore, completed an Ambulatory Pediatric Fellowship at Boston Children’s Hospital and received an M.B.A. from Columbia Business School.</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53" w:name="page54"/>
    <w:bookmarkEnd w:id="53"/>
    <w:p>
      <w:pPr>
        <w:ind w:right="200" w:firstLine="405"/>
        <w:spacing w:after="0" w:line="291" w:lineRule="auto"/>
        <w:rPr>
          <w:sz w:val="20"/>
          <w:szCs w:val="20"/>
          <w:color w:val="auto"/>
        </w:rPr>
      </w:pPr>
      <w:r>
        <w:rPr>
          <w:rFonts w:ascii="Arial" w:cs="Arial" w:eastAsia="Arial" w:hAnsi="Arial"/>
          <w:sz w:val="16"/>
          <w:szCs w:val="16"/>
          <w:i w:val="1"/>
          <w:iCs w:val="1"/>
          <w:color w:val="auto"/>
        </w:rPr>
        <w:t xml:space="preserve">Hanna Ron </w:t>
      </w:r>
      <w:r>
        <w:rPr>
          <w:rFonts w:ascii="Arial" w:cs="Arial" w:eastAsia="Arial" w:hAnsi="Arial"/>
          <w:sz w:val="16"/>
          <w:szCs w:val="16"/>
          <w:color w:val="auto"/>
        </w:rPr>
        <w:t>serves as our Senior Vice President for Chemistry, Manufacturing and Control. She has over 28 years of experience in the pharmaceutical</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and is an expert in chemistry, manufacturing and controls and pre-clinical studies. She has been providing full-time services to the Company since 2011 and has been a consultant to the pharmaceutical industry since 2009. From 2004 to 2009, she was the Vice President of Chemistry, Manufacturing and Controls at Bioline Innovations, an Israeli biotechnology company. She has held other positions in biotechnology and pharmaceutical companies, including being a chief research and development manager and a pharmaceutical product development manager at Teva Pharmaceuticals. Ms. Ron holds a B.Sc. in Pharmacy from Hebrew University in Jerusalem, an M.Sc. in Pharmaceutical Sciences (Clinical Pharmacy) from the Hebrew University and M.Sc. in Chemical Engineer from School of Engineering Tel Aviv University. She is licensed as a pharmacist by the the Ministry of Health, Israel.</w:t>
      </w:r>
    </w:p>
    <w:p>
      <w:pPr>
        <w:spacing w:after="0" w:line="167"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i w:val="1"/>
          <w:iCs w:val="1"/>
          <w:color w:val="auto"/>
        </w:rPr>
        <w:t xml:space="preserve">Dr. Johanna Schumann </w:t>
      </w:r>
      <w:r>
        <w:rPr>
          <w:rFonts w:ascii="Arial" w:cs="Arial" w:eastAsia="Arial" w:hAnsi="Arial"/>
          <w:sz w:val="16"/>
          <w:szCs w:val="16"/>
          <w:color w:val="auto"/>
        </w:rPr>
        <w:t>serves as our Senior Vice President for Preclinical Development. She joined us in August 2013 after working at BioLineRx, an</w:t>
      </w:r>
      <w:r>
        <w:rPr>
          <w:rFonts w:ascii="Arial" w:cs="Arial" w:eastAsia="Arial" w:hAnsi="Arial"/>
          <w:sz w:val="16"/>
          <w:szCs w:val="16"/>
          <w:i w:val="1"/>
          <w:iCs w:val="1"/>
          <w:color w:val="auto"/>
        </w:rPr>
        <w:t xml:space="preserve"> </w:t>
      </w:r>
      <w:r>
        <w:rPr>
          <w:rFonts w:ascii="Arial" w:cs="Arial" w:eastAsia="Arial" w:hAnsi="Arial"/>
          <w:sz w:val="16"/>
          <w:szCs w:val="16"/>
          <w:color w:val="auto"/>
        </w:rPr>
        <w:t>Israeli drug development company, from 2010 through 2013, serving as Preclinical Development Manager. In this role, she designed, managed and executed preclinical activities, including toxicology, pharmacokinetics and pharmacodynamics studies, in accordance with the relevant regulatory authorities' guidelines, for multiple preclinical phase drug development projects and medical indications. Dr Schumann holds a B.Sc. in Life Sciences from the Hebrew University of Jerusalem, and an M.Sc. and Ph.D. in Pharmacology from the School of Pharmacy, The Hebrew University of Jerusalem.</w:t>
      </w:r>
    </w:p>
    <w:p>
      <w:pPr>
        <w:spacing w:after="0" w:line="158" w:lineRule="exact"/>
        <w:rPr>
          <w:sz w:val="20"/>
          <w:szCs w:val="20"/>
          <w:color w:val="auto"/>
        </w:rPr>
      </w:pPr>
    </w:p>
    <w:p>
      <w:pPr>
        <w:ind w:right="80" w:firstLine="401"/>
        <w:spacing w:after="0" w:line="253" w:lineRule="auto"/>
        <w:rPr>
          <w:sz w:val="20"/>
          <w:szCs w:val="20"/>
          <w:color w:val="auto"/>
        </w:rPr>
      </w:pPr>
      <w:r>
        <w:rPr>
          <w:rFonts w:ascii="Arial" w:cs="Arial" w:eastAsia="Arial" w:hAnsi="Arial"/>
          <w:sz w:val="18"/>
          <w:szCs w:val="18"/>
          <w:i w:val="1"/>
          <w:iCs w:val="1"/>
          <w:color w:val="auto"/>
        </w:rPr>
        <w:t xml:space="preserve">Dr Hagit Marchaim </w:t>
      </w:r>
      <w:r>
        <w:rPr>
          <w:rFonts w:ascii="Arial" w:cs="Arial" w:eastAsia="Arial" w:hAnsi="Arial"/>
          <w:sz w:val="18"/>
          <w:szCs w:val="18"/>
          <w:color w:val="auto"/>
        </w:rPr>
        <w:t>serves as our Senior Vice President for Regulatory Affairs. She joined us in May 2014 and brings 10 years of regulatory affairs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to Alcobra. Prior to joining Alcobra, and from 2011 to 2013, Dr. Marchaim was the Vice President Regulatory Affairs at CureTech Ltd. Before that, and from 2009 to 2011, she was the Regulatory Affairs Department Head at Omrix Biopharmaceuticals, a Johnson &amp; Johnson company. Her first regulatory affairs positions were at Makhteshim Agan Industries Ltd., from 2004 to 2007, and at Kamada Ltd., from 2007 to 2009, where she was also responsible for management of non-clinical studies. Dr. Marchaim has a broad experience as a Regulatory Affairs Consultant, working with companies ranging from startups at early development stages to global companies at post approval stages worldwide. Dr. Marchaim holds a B.Sc. in Biological Sciences from The Hebrew University of Jerusalem, a M.Sc. in Microbiology from The Hebrew University of Jerusalem, a Ph.D. from the Hebrew University of Jerusalem and a M.B.A. from the College of Management. In addition, Dr. Marchaim was a postdoctoral fellow at The Weizmann Institute for Science in Israel.</w:t>
      </w:r>
    </w:p>
    <w:p>
      <w:pPr>
        <w:spacing w:after="0" w:line="19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i w:val="1"/>
          <w:iCs w:val="1"/>
          <w:color w:val="auto"/>
        </w:rPr>
        <w:t xml:space="preserve">Irena Katsman, </w:t>
      </w:r>
      <w:r>
        <w:rPr>
          <w:rFonts w:ascii="Arial" w:cs="Arial" w:eastAsia="Arial" w:hAnsi="Arial"/>
          <w:sz w:val="18"/>
          <w:szCs w:val="18"/>
          <w:color w:val="auto"/>
        </w:rPr>
        <w:t>our Vice President for Finance, joined Alcobra in April 2015. Immediately prior to joining Alcobra and since 2008, Ms. Katsman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Finance Manager of Omrix Biopharmaceuticals, a Johnson &amp; Johnson company. Ms. Katsman is a certified public accountant and holds a B.A. in Economics and Accounting from the Hebrew University in Jerusalem and an M.B.A. from Tel Aviv University.</w:t>
      </w:r>
    </w:p>
    <w:p>
      <w:pPr>
        <w:spacing w:after="0" w:line="181"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i w:val="1"/>
          <w:iCs w:val="1"/>
          <w:color w:val="auto"/>
        </w:rPr>
        <w:t xml:space="preserve">Shlomi Ianovitz </w:t>
      </w:r>
      <w:r>
        <w:rPr>
          <w:rFonts w:ascii="Arial" w:cs="Arial" w:eastAsia="Arial" w:hAnsi="Arial"/>
          <w:sz w:val="18"/>
          <w:szCs w:val="18"/>
          <w:color w:val="auto"/>
        </w:rPr>
        <w:t>serves as our Director of Quality Assurance. He joined us in October 2015. From 2012 until 2015, Mr. Ianovitz served as a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Manager and Qualified Person at Dexcel Pharma., and prior to that and from 2010 he served as a Qualified Person at Dexcel Pharma. From 2009 to 2010, Mr. Ianovitz served as the Production Pharmacist and Deputy Qualified Person at CTS Chemical Industries Ltd. Mr. Ianovitz holds a B.Sc. Pharm from the School of Pharmacy of the Hebrew University of Jerusalem.</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6.B.</w:t>
      </w:r>
      <w:r>
        <w:rPr>
          <w:sz w:val="20"/>
          <w:szCs w:val="20"/>
          <w:color w:val="auto"/>
        </w:rPr>
        <w:tab/>
      </w:r>
      <w:r>
        <w:rPr>
          <w:rFonts w:ascii="Arial" w:cs="Arial" w:eastAsia="Arial" w:hAnsi="Arial"/>
          <w:sz w:val="15"/>
          <w:szCs w:val="15"/>
          <w:b w:val="1"/>
          <w:bCs w:val="1"/>
          <w:color w:val="auto"/>
        </w:rPr>
        <w:t>Compensation</w:t>
      </w:r>
    </w:p>
    <w:p>
      <w:pPr>
        <w:spacing w:after="0" w:line="216" w:lineRule="exact"/>
        <w:rPr>
          <w:sz w:val="20"/>
          <w:szCs w:val="20"/>
          <w:color w:val="auto"/>
        </w:rPr>
      </w:pPr>
    </w:p>
    <w:p>
      <w:pPr>
        <w:ind w:right="40" w:firstLine="401"/>
        <w:spacing w:after="0" w:line="279" w:lineRule="auto"/>
        <w:rPr>
          <w:sz w:val="20"/>
          <w:szCs w:val="20"/>
          <w:color w:val="auto"/>
        </w:rPr>
      </w:pPr>
      <w:r>
        <w:rPr>
          <w:rFonts w:ascii="Arial" w:cs="Arial" w:eastAsia="Arial" w:hAnsi="Arial"/>
          <w:sz w:val="17"/>
          <w:szCs w:val="17"/>
          <w:color w:val="auto"/>
        </w:rPr>
        <w:t>The table below reflects the compensation granted to our five most highly compensated officers during or with respect to the year ended December 31, 2015. All amounts reported in the table reflect the cost to us, in U.S. Dollars, as recognized in our financial statements for the year ended December 31, 2015. Amounts paid in NIS are translated into U.S. dollars at the rate of NIS 3.89 = U.S.$1.00, based on the average representative rate of exchange between the NIS and the U.S. dollar as reported by the Bank of Israel in the year ended December 31,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Share-Based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Name and Position</w:t>
            </w:r>
          </w:p>
        </w:tc>
        <w:tc>
          <w:tcPr>
            <w:tcW w:w="2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Salary</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color w:val="auto"/>
              </w:rPr>
              <w:t>Payment (1)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Bonus (2)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Dr. Yaron Daniely</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 President and Director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Dr. Tomer Berkovitz</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 Chief Operating Officer</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373,000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David Baker</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Commercial Officer</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Dr. Jonathan Rubin</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Medical Officer</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Dr. Hagit Marchaim</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SVP Regulatory Affairs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20" w:right="100" w:hanging="320"/>
        <w:spacing w:after="0" w:line="308" w:lineRule="auto"/>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the equity-based compensation expenses recorded in our consolidated financial statements for the year ended December 31, 2015 based on the options’ grant date fair value in accordance with accounting guidance for equity-based compensation.</w:t>
      </w:r>
    </w:p>
    <w:p>
      <w:pPr>
        <w:spacing w:after="0" w:line="146" w:lineRule="exact"/>
        <w:rPr>
          <w:rFonts w:ascii="Arial" w:cs="Arial" w:eastAsia="Arial" w:hAnsi="Arial"/>
          <w:sz w:val="17"/>
          <w:szCs w:val="17"/>
          <w:color w:val="auto"/>
        </w:rPr>
      </w:pPr>
    </w:p>
    <w:p>
      <w:pPr>
        <w:ind w:left="720" w:hanging="320"/>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Does not include bonus payments for 2015 not yet granted, which are subject to the approval of our shareholders.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right="140" w:firstLine="401"/>
        <w:spacing w:after="0" w:line="257" w:lineRule="auto"/>
        <w:rPr>
          <w:sz w:val="20"/>
          <w:szCs w:val="20"/>
          <w:color w:val="auto"/>
        </w:rPr>
      </w:pPr>
      <w:r>
        <w:rPr>
          <w:rFonts w:ascii="Arial" w:cs="Arial" w:eastAsia="Arial" w:hAnsi="Arial"/>
          <w:sz w:val="18"/>
          <w:szCs w:val="18"/>
          <w:color w:val="auto"/>
        </w:rPr>
        <w:t>The aggregate amount of compensation paid or accrued to all of our directors and executive officers as a group with respect to the year ended December 31, 2015 was approximately $3.2 million. This amount includes salaries, consulting fees, directors' fees, car expenses and vacation, pension, severance, retirement or similar benefits or expenses, employer’s taxes, and bonuses expenses in an amount of $0.8 million. The amount does not include business travel, relocation, professional and business association due and expenses reimbursed to office holders, and other benefits commonly reimbursed or paid by companies in our industry.</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share-based compensation in the amount of $2.2 million was recorded in 2015.</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22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We have entered into written employment agreements with all of our executive officers. Each of these agreements contains provisions regarding non-competition, confidentiality of information and ownership of inventions. The non-competition provision applies for a period that is generally 12 months following termination of employment. The enforceability of covenants not to compete in Israel and the United States is subject to limitations. In addition, we are required to provide notice prior to terminating the employment of our executive officers, other than in the case of a termination for cause.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Directors’ Service Contracts</w:t>
      </w:r>
    </w:p>
    <w:p>
      <w:pPr>
        <w:spacing w:after="0" w:line="22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Other than with respect to our directors that are also executive officers, we do not have written agreements with any director providing for benefits upon the termination of his employment with our company.</w:t>
      </w:r>
    </w:p>
    <w:p>
      <w:pPr>
        <w:spacing w:after="0" w:line="1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December 2012, an amendment to the Israeli Companies Law, or Amendment 20, became effective, requiring companies to appoint a compensation committee. Our existing compensation committee as detailed in Item 6.C. Board Practices “Board Committees – Compensation Committee” below meets this requirement.</w:t>
      </w:r>
    </w:p>
    <w:p>
      <w:pPr>
        <w:spacing w:after="0" w:line="181" w:lineRule="exact"/>
        <w:rPr>
          <w:sz w:val="20"/>
          <w:szCs w:val="20"/>
          <w:color w:val="auto"/>
        </w:rPr>
      </w:pPr>
    </w:p>
    <w:p>
      <w:pPr>
        <w:jc w:val="both"/>
        <w:ind w:right="160" w:firstLine="405"/>
        <w:spacing w:after="0" w:line="302" w:lineRule="auto"/>
        <w:rPr>
          <w:sz w:val="20"/>
          <w:szCs w:val="20"/>
          <w:color w:val="auto"/>
        </w:rPr>
      </w:pPr>
      <w:r>
        <w:rPr>
          <w:rFonts w:ascii="Arial" w:cs="Arial" w:eastAsia="Arial" w:hAnsi="Arial"/>
          <w:sz w:val="16"/>
          <w:szCs w:val="16"/>
          <w:color w:val="auto"/>
        </w:rPr>
        <w:t>Amendment 20 also requires us to adopt an office holder compensation policy, no later than nine months from our initial public offering, that will set forth company policy, or the Compensation Policy, regarding the terms of office and employment of office holders, including compensation, equity awards, severance and other benefits, exemption from liability and indemnification, referred to as the Terms of Office and Employment. The term “office holder,” as defined in the Israeli Companies Law, includes directors, executive officers and any manager directly subordinate to the chief executive officer.</w:t>
      </w:r>
    </w:p>
    <w:p>
      <w:pPr>
        <w:spacing w:after="0" w:line="154" w:lineRule="exact"/>
        <w:rPr>
          <w:sz w:val="20"/>
          <w:szCs w:val="20"/>
          <w:color w:val="auto"/>
        </w:rPr>
      </w:pPr>
    </w:p>
    <w:p>
      <w:pPr>
        <w:ind w:right="180" w:firstLine="405"/>
        <w:spacing w:after="0" w:line="288" w:lineRule="auto"/>
        <w:rPr>
          <w:sz w:val="20"/>
          <w:szCs w:val="20"/>
          <w:color w:val="auto"/>
        </w:rPr>
      </w:pPr>
      <w:r>
        <w:rPr>
          <w:rFonts w:ascii="Arial" w:cs="Arial" w:eastAsia="Arial" w:hAnsi="Arial"/>
          <w:sz w:val="16"/>
          <w:szCs w:val="16"/>
          <w:color w:val="auto"/>
        </w:rPr>
        <w:t>The Compensation Policy must be approved by the board of directors, after considering the recommendations of the compensation committee. The Compensation Policy must also be approved by a majority of the company’s shareholders, provided that (i) such majority includes at least a majority of the shareholders who are not controlling shareholders and who do not have a personal interest in the matter, present and voting (abstentions are disregarded), or</w:t>
      </w:r>
    </w:p>
    <w:p>
      <w:pPr>
        <w:ind w:right="40" w:firstLine="8"/>
        <w:spacing w:after="0" w:line="254" w:lineRule="auto"/>
        <w:tabs>
          <w:tab w:leader="none" w:pos="2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non-controlling shareholders and shareholders who do not have a personal interest in the matter who were present and voted against the policy hold two percent or less of the voting power of the company. The Compensation Policy must be approved by the board of directors and the shareholders every three years. If the Compensation Policy is not approved by the shareholders, the compensation committee and the board of directors may nonetheless approve the policy, following further discussion of the matter and for specified reasons.</w:t>
      </w:r>
    </w:p>
    <w:p>
      <w:pPr>
        <w:spacing w:after="0" w:line="190"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Under Amendment 20, the Terms of Office and Employment of office holders require the approval of the compensation committee and the board of directors. The Terms of Office and Employment of directors and the chief executive officer must also be approved by shareholders.</w:t>
      </w:r>
    </w:p>
    <w:p>
      <w:pPr>
        <w:spacing w:after="0" w:line="147"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Changes to existing Terms of Office and Employment of office holders (other than directors) can be made with the approval of the compensation committee only, if the committee determines that the change is not substantially different from the existing terms.</w:t>
      </w:r>
    </w:p>
    <w:p>
      <w:pPr>
        <w:spacing w:after="0" w:line="17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Under certain circumstances, the compensation committee and the board of directors may approve an arrangement that deviates from the Compensation Policy, provided that such arrangement is approved by the special majority of the company’s shareholders mentioned above. Such shareholder approval will also be required with respect to determining the Terms of Office and Employment of a director or the chief executive officer during the transition period until the company adopts a Compensation Policy. Notwithstanding the foregoing, a company may be exempted from receiving shareholder approval with respect to the Terms of Office and Employment of a candidate for chief executive officer if such candidate meets certain independence criteria, the terms are in line with the Compensation Policy and the compensation committee has determined for specified reasons that shareholder approval would prevent the engagement.</w:t>
      </w:r>
    </w:p>
    <w:p>
      <w:pPr>
        <w:spacing w:after="0" w:line="16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Under the Israeli Companies Law and related regulations, the compensation payable to statutory independent directors and independent directors is subject to certain further limitations. See Item 6.C. Board Practices “External Directors.”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left="420"/>
        <w:spacing w:after="0"/>
        <w:rPr>
          <w:sz w:val="20"/>
          <w:szCs w:val="20"/>
          <w:color w:val="auto"/>
        </w:rPr>
      </w:pPr>
      <w:r>
        <w:rPr>
          <w:rFonts w:ascii="Arial" w:cs="Arial" w:eastAsia="Arial" w:hAnsi="Arial"/>
          <w:sz w:val="16"/>
          <w:szCs w:val="16"/>
          <w:color w:val="auto"/>
        </w:rPr>
        <w:t>Our shareholders approved a Compensation Policy in February 2014, which was subsequently amended in July 2015 that meets the above requirements.</w:t>
      </w:r>
    </w:p>
    <w:p>
      <w:pPr>
        <w:spacing w:after="0" w:line="2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6.C.</w:t>
      </w:r>
      <w:r>
        <w:rPr>
          <w:sz w:val="20"/>
          <w:szCs w:val="20"/>
          <w:color w:val="auto"/>
        </w:rPr>
        <w:tab/>
      </w:r>
      <w:r>
        <w:rPr>
          <w:rFonts w:ascii="Arial" w:cs="Arial" w:eastAsia="Arial" w:hAnsi="Arial"/>
          <w:sz w:val="16"/>
          <w:szCs w:val="16"/>
          <w:b w:val="1"/>
          <w:bCs w:val="1"/>
          <w:color w:val="auto"/>
        </w:rPr>
        <w:t>Board practices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the Israeli Companies Law, setting up the Company's policy and oversight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9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Under our amended and restated articles of association,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Currently, our Board of Directors consists of eight directors, including two external directors. We have only one class of directors.</w:t>
      </w:r>
    </w:p>
    <w:p>
      <w:pPr>
        <w:spacing w:after="0" w:line="187"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Other than external directors, for whom special election requirements and terms of office apply under the Israeli Companies Law as detailed below, our directors are each elected at a general meeting of our shareholders and serve for a term of roughly one year. Directors may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17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 below.</w:t>
      </w:r>
    </w:p>
    <w:p>
      <w:pPr>
        <w:spacing w:after="0" w:line="188"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accordance with the exemption available to foreign private issuers under NASDAQ rules, we do not follow the requirements of the NASDAQ rules with regard to the process of nominating directors, and instead,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 Mr. Mor has such accounting and financial expertise.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Under the Israeli Companies Law, the boards of directors of companies whose shares are publicly traded, including companies with shares listed on the NASDAQ Global Market, are required to include at least two members elected to serve as external directors. Accordingly, Mr. Mor and Dr. Gelander have been elected to serve as external directors.</w:t>
      </w:r>
    </w:p>
    <w:p>
      <w:pPr>
        <w:spacing w:after="0" w:line="181" w:lineRule="exact"/>
        <w:rPr>
          <w:sz w:val="20"/>
          <w:szCs w:val="20"/>
          <w:color w:val="auto"/>
        </w:rPr>
      </w:pPr>
    </w:p>
    <w:p>
      <w:pPr>
        <w:ind w:right="260" w:firstLine="405"/>
        <w:spacing w:after="0" w:line="272" w:lineRule="auto"/>
        <w:rPr>
          <w:sz w:val="20"/>
          <w:szCs w:val="20"/>
          <w:color w:val="auto"/>
        </w:rPr>
      </w:pPr>
      <w:r>
        <w:rPr>
          <w:rFonts w:ascii="Arial" w:cs="Arial" w:eastAsia="Arial" w:hAnsi="Arial"/>
          <w:sz w:val="17"/>
          <w:szCs w:val="17"/>
          <w:color w:val="auto"/>
        </w:rPr>
        <w:t>The definitions of an external director under the Israeli Companies Law and independent director under NASDAQ listing rules are similar to such an extent that it would be generally expected that our two external directors will also comply with the independence requirement under the NASDAQ Stock Market rules. The definition of an external director includes a set of statutory criteria that must be satisfied, while the definition of an independent director also requires the board to consider any factor which would impair the ability of a director to exercise independent judgment. In addition, while external directors serve for a period of three years pursuant to the requirements of Israeli law, independent directors serve for one year pursuant to the provisions of our amended and restated articles of association. However, external directors must be elected by a special majority of shareholders while independent directors are elected by an ordinary majority.</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6" w:name="page57"/>
    <w:bookmarkEnd w:id="56"/>
    <w:p>
      <w:pPr>
        <w:ind w:right="620" w:firstLine="405"/>
        <w:spacing w:after="0" w:line="277" w:lineRule="auto"/>
        <w:rPr>
          <w:sz w:val="20"/>
          <w:szCs w:val="20"/>
          <w:color w:val="auto"/>
        </w:rPr>
      </w:pPr>
      <w:r>
        <w:rPr>
          <w:rFonts w:ascii="Arial" w:cs="Arial" w:eastAsia="Arial" w:hAnsi="Arial"/>
          <w:sz w:val="18"/>
          <w:szCs w:val="18"/>
          <w:color w:val="auto"/>
        </w:rPr>
        <w:t>The Israeli Companies Law provides that external directors must be elected by a majority vote of the shares present and voting at a shareholders meeting, provided that either:</w:t>
      </w:r>
    </w:p>
    <w:p>
      <w:pPr>
        <w:spacing w:after="0" w:line="157" w:lineRule="exact"/>
        <w:rPr>
          <w:sz w:val="20"/>
          <w:szCs w:val="20"/>
          <w:color w:val="auto"/>
        </w:rPr>
      </w:pPr>
    </w:p>
    <w:p>
      <w:pPr>
        <w:ind w:left="920" w:right="80" w:hanging="453"/>
        <w:spacing w:after="0" w:line="253" w:lineRule="auto"/>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majority voted in favor of election includes a majority of the shares held by non-controlling shareholders who do not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65" w:lineRule="exact"/>
        <w:rPr>
          <w:rFonts w:ascii="Arial" w:cs="Arial" w:eastAsia="Arial" w:hAnsi="Arial"/>
          <w:sz w:val="17"/>
          <w:szCs w:val="17"/>
          <w:color w:val="auto"/>
        </w:rPr>
      </w:pPr>
    </w:p>
    <w:p>
      <w:pPr>
        <w:ind w:left="920" w:right="340" w:hanging="453"/>
        <w:spacing w:after="0" w:line="246"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183"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 In connection with approval of certain extraordinary and interested party transactions as well as corporate approval of executive compensation, by shareholders, any shareholder (or group of shareholders having interest in the same matter being brought for approval) who hold(s) in the aggregate 25% or more of the means of control if no other shareholder holds more than 50% of the voting rights, would be deemed a controlling shareholder.</w:t>
      </w:r>
    </w:p>
    <w:p>
      <w:pPr>
        <w:spacing w:after="0" w:line="165"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After an initial term of three years, external directors may be reelected to serve in that capacity for up to two additional three year terms, provided that either (i) (1)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and (2) the external director who has been nominated in such fashion by the shareholders is not a linked or competing shareholder, and does not have or has not had, on or within the two years preceding the date of such person’s appointment to serve as another term as external director, any affiliation with a linked or competing shareholder. The term “linked or competing shareholder” means the shareholder(s) who nominated the external director for reappointment or a material shareholder of the company holding more than 5% of the shares in the company, provided that at the time of the reappointment, such shareholder(s) of the company, the controlling shareholder of such shareholder(s) of the company, or a company under such shareholder(s) of the company’s control, has a business relationship with the company or are competitors of the company; the Israeli Minister of Justice, in consultation with the Israeli Securities Authority, may determine that certain matters will not constitute a business relationship or competition with the company; or (ii) his or her service for each such additional term is recommended by the board of directors and is approved at a shareholders meeting by the same non-controlling and disinterested majority required for the initial election of an external director (as described above). The term of office for external directors for Israeli companies traded on certain foreign stock exchanges, including the NASDAQ Global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16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If the Board of Directors resolves that an external director no longer complies with the requirement of qualification as an external director, or that such external director has breached any fiduciary duty, a special general meeting shall be convened at which the termination of such external director’s service shall be included in the agenda.</w:t>
      </w:r>
    </w:p>
    <w:p>
      <w:pPr>
        <w:spacing w:after="0" w:line="181"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47"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Each committee of the board of directors that is authorized to exercise the powers of the board of directors must include at least one external director, except that the audit committee and the compensation committee must each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promulgated under the Israeli Companies Law. Compensation of an external director is determined prior to his or her appointment and may not be changed during his or her term subject to certain exceptions.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right="20" w:firstLine="405"/>
        <w:spacing w:after="0" w:line="254" w:lineRule="auto"/>
        <w:rPr>
          <w:sz w:val="20"/>
          <w:szCs w:val="20"/>
          <w:color w:val="auto"/>
        </w:rPr>
      </w:pPr>
      <w:r>
        <w:rPr>
          <w:rFonts w:ascii="Arial" w:cs="Arial" w:eastAsia="Arial" w:hAnsi="Arial"/>
          <w:sz w:val="18"/>
          <w:szCs w:val="18"/>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92"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The term relative is defined as a spouse, sibling, parent, grandparent or descendant; spouse's sibling, parent or descendant; and the spouse of each of the foregoing persons. The term affiliation and the similar types of prohibited relationships include (subject to certain exemptions):</w:t>
      </w:r>
    </w:p>
    <w:p>
      <w:pPr>
        <w:spacing w:after="0" w:line="133" w:lineRule="exact"/>
        <w:rPr>
          <w:sz w:val="20"/>
          <w:szCs w:val="20"/>
          <w:color w:val="auto"/>
        </w:rPr>
      </w:pPr>
    </w:p>
    <w:p>
      <w:pPr>
        <w:ind w:left="920" w:hanging="453"/>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198" w:lineRule="exact"/>
        <w:rPr>
          <w:rFonts w:ascii="Arial" w:cs="Arial" w:eastAsia="Arial" w:hAnsi="Arial"/>
          <w:sz w:val="18"/>
          <w:szCs w:val="18"/>
          <w:color w:val="auto"/>
        </w:rPr>
      </w:pPr>
    </w:p>
    <w:p>
      <w:pPr>
        <w:ind w:left="920" w:right="160" w:hanging="453"/>
        <w:spacing w:after="0" w:line="235"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service as an office holder, excluding service as a director in a private company prior to the first offering of its shares to the public if such director was appointed as a director of the private company in order to be nominated to serve as an external director following the initial public offering.</w:t>
      </w:r>
    </w:p>
    <w:p>
      <w:pPr>
        <w:spacing w:after="0" w:line="18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8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These restrictions extend for a period of two years with regard to the former external director and his or her spouse or child, and for one year with respect to other relatives of the former external director.</w:t>
      </w:r>
    </w:p>
    <w:p>
      <w:pPr>
        <w:spacing w:after="0" w:line="169"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According to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 (iii) has accounting and financial expertise as defined under Israeli law, then neither of our external directors is required to possess accounting and financial expertise as long as both possess other requisite professional qualifications.</w:t>
      </w:r>
    </w:p>
    <w:p>
      <w:pPr>
        <w:spacing w:after="0" w:line="193"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6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Board of Directors has determined that Mr. Mor possesses the requisite accounting and financial expertise and that Dr. Gelander possesses the requisite professional qualifications.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Mr. Howard Rosen to serve as Chairman of the Board of Directors.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020" w:gutter="0" w:footer="0" w:header="0"/>
        </w:sectPr>
      </w:pPr>
    </w:p>
    <w:bookmarkStart w:id="58" w:name="page59"/>
    <w:bookmarkEnd w:id="58"/>
    <w:p>
      <w:pPr>
        <w:ind w:left="420"/>
        <w:spacing w:after="0"/>
        <w:rPr>
          <w:sz w:val="20"/>
          <w:szCs w:val="20"/>
          <w:color w:val="auto"/>
        </w:rPr>
      </w:pPr>
      <w:r>
        <w:rPr>
          <w:rFonts w:ascii="Arial" w:cs="Arial" w:eastAsia="Arial" w:hAnsi="Arial"/>
          <w:sz w:val="18"/>
          <w:szCs w:val="18"/>
          <w:b w:val="1"/>
          <w:bCs w:val="1"/>
          <w:i w:val="1"/>
          <w:iCs w:val="1"/>
          <w:color w:val="auto"/>
        </w:rPr>
        <w:t>Role of Board in Risk Oversight Process</w:t>
      </w:r>
    </w:p>
    <w:p>
      <w:pPr>
        <w:spacing w:after="0" w:line="225" w:lineRule="exact"/>
        <w:rPr>
          <w:sz w:val="20"/>
          <w:szCs w:val="20"/>
          <w:color w:val="auto"/>
        </w:rPr>
      </w:pPr>
    </w:p>
    <w:p>
      <w:pPr>
        <w:ind w:right="260" w:firstLine="405"/>
        <w:spacing w:after="0" w:line="273"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88" w:lineRule="exact"/>
        <w:rPr>
          <w:sz w:val="20"/>
          <w:szCs w:val="20"/>
          <w:color w:val="auto"/>
        </w:rPr>
      </w:pPr>
    </w:p>
    <w:p>
      <w:pPr>
        <w:ind w:right="680" w:firstLine="405"/>
        <w:spacing w:after="0" w:line="264" w:lineRule="auto"/>
        <w:rPr>
          <w:sz w:val="20"/>
          <w:szCs w:val="20"/>
          <w:color w:val="auto"/>
        </w:rPr>
      </w:pPr>
      <w:r>
        <w:rPr>
          <w:rFonts w:ascii="Arial" w:cs="Arial" w:eastAsia="Arial" w:hAnsi="Arial"/>
          <w:sz w:val="18"/>
          <w:szCs w:val="18"/>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168" w:lineRule="exact"/>
        <w:rPr>
          <w:sz w:val="20"/>
          <w:szCs w:val="20"/>
          <w:color w:val="auto"/>
        </w:rPr>
      </w:pPr>
    </w:p>
    <w:p>
      <w:pPr>
        <w:jc w:val="both"/>
        <w:ind w:left="920" w:right="60" w:hanging="453"/>
        <w:spacing w:after="0" w:line="231"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 the audit committee of the company confirmed such qualifications; and</w:t>
      </w:r>
    </w:p>
    <w:p>
      <w:pPr>
        <w:spacing w:after="0" w:line="175" w:lineRule="exact"/>
        <w:rPr>
          <w:rFonts w:ascii="Arial" w:cs="Arial" w:eastAsia="Arial" w:hAnsi="Arial"/>
          <w:sz w:val="18"/>
          <w:szCs w:val="18"/>
          <w:color w:val="auto"/>
        </w:rPr>
      </w:pPr>
    </w:p>
    <w:p>
      <w:pPr>
        <w:ind w:left="1020" w:right="140" w:hanging="55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83"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the Audit Committee consistent with the rules of the SEC and the Listing Rules of the NASDAQ Stock Market, as well as the requirements for such committee under the Israeli Companies Law, as described below.</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Audit Committee consists of Mr. Mor, who serves as the chairperson of the committee, Mr. Ben Yosef and Dr. Gelander.</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88"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 (ii) 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Item 16.G. Corporate Governance “Approval of Related Party Transactions under Israeli Law”), (iii) establishing procedures regarding related party transactions with a controlling shareholder, which may include, the establishment of a competitive process for such transaction, under the supervision of the audit committee or another individual or committee selected by the audit committee, in accordance with criteria determined by the audit committee; (iv) determining procedures for approving certain related party transactions with a controlling shareholder, which have been determined by the audit committee to not be extraordinary transactions, nor negligible transactions; (v) where the Board of Directors approves the working plan of the internal auditor, to examine such working plan before its submission to the Board and propose amendments thereto, (vi) examining our internal controls and internal auditor's performance, including whether the internal auditor has sufficient resources and tools to dispose of its responsibilities, (vii) examining the scope of our auditor's work and compensation and submitting a recommendation with respect thereto to our Board of Directors or shareholders, depending on which of them is considering the appointment of our auditor, and (viii)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9" w:name="page60"/>
    <w:bookmarkEnd w:id="59"/>
    <w:p>
      <w:pPr>
        <w:ind w:left="420"/>
        <w:spacing w:after="0"/>
        <w:rPr>
          <w:sz w:val="20"/>
          <w:szCs w:val="20"/>
          <w:color w:val="auto"/>
        </w:rPr>
      </w:pPr>
      <w:r>
        <w:rPr>
          <w:rFonts w:ascii="Arial" w:cs="Arial" w:eastAsia="Arial" w:hAnsi="Arial"/>
          <w:sz w:val="18"/>
          <w:szCs w:val="18"/>
          <w:i w:val="1"/>
          <w:iCs w:val="1"/>
          <w:color w:val="auto"/>
        </w:rPr>
        <w:t>NASDAQ requirements</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Under the Nasdaq Marketplace Rules, we are required to maintain an audit committee consisting of at least three independent directors, all of whom are financially literate and one of whom has accounting or related financial management expertise.</w:t>
      </w:r>
    </w:p>
    <w:p>
      <w:pPr>
        <w:spacing w:after="0" w:line="170"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As noted above, our audit committee consists of Dr. Gelander, Mr. Mor and Mr. Ben Yosef. Mr. Mor is an audit committee financial expert as defined by SEC rules and has the requisite financial sophistication as defined by the Nasdaq Marketplace Rules. All of the members of our audit committee meet the requirements for financial literacy under the applicable rules and regulations of the SEC and the Listing Rules of the NASDAQ Stock Market.</w:t>
      </w:r>
    </w:p>
    <w:p>
      <w:pPr>
        <w:spacing w:after="0" w:line="14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Dr. Gelander, Mr. Mor and Ben Yosef are independent as such term is defined in Rule 10A-3(b)(1) under the Exchange Act and under the Listing Rules of the NASDAQ Stock Market.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chose to rely upon the exemption available to foreign private issuers under the Listing Rules of the NASDAQ Stock Market with respect to the determination of the compensation of our Chief Executive Officer and other executive officers, and, in lieu of forming a compensation committee consisting entirely of independent directors (or the determination of such compensation solely by the independent members of our Board of Directors), we have a compensation committee in compliance with the Israeli Companies Law. See Item 16.G. Corporate Governance. However, all of the current members of our compensation committee are independent.</w:t>
      </w:r>
    </w:p>
    <w:p>
      <w:pPr>
        <w:spacing w:after="0" w:line="18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Under the Israeli Companies Law,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applicable to the compensation of external directors, or amounts paid pursuant to indemnification and/or exculpation contracts or commitments and insurance coverage).</w:t>
      </w:r>
    </w:p>
    <w:p>
      <w:pPr>
        <w:spacing w:after="0" w:line="19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81"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Our compensation committee has adopted a compensation committee charter setting forth the responsibilities of the compensation committee consistent with the rules of the SEC and the Listing Rules of the NASDAQ Stock Market, as well as the Israeli Companies Law, as described below.</w:t>
      </w:r>
    </w:p>
    <w:p>
      <w:pPr>
        <w:spacing w:after="0" w:line="14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Our Compensation Committee consists of Dr. Gelander, who serves as the chairperson of the committee, Mr. Ben Yosef and Mr. Mor, all of whom are independent under the listing standards of the NASDAQ Global Market.</w:t>
      </w:r>
    </w:p>
    <w:p>
      <w:pPr>
        <w:spacing w:after="0" w:line="170" w:lineRule="exact"/>
        <w:rPr>
          <w:sz w:val="20"/>
          <w:szCs w:val="20"/>
          <w:color w:val="auto"/>
        </w:rPr>
      </w:pPr>
    </w:p>
    <w:p>
      <w:pPr>
        <w:jc w:val="both"/>
        <w:ind w:right="240" w:firstLine="405"/>
        <w:spacing w:after="0" w:line="279" w:lineRule="auto"/>
        <w:rPr>
          <w:sz w:val="20"/>
          <w:szCs w:val="20"/>
          <w:color w:val="auto"/>
        </w:rPr>
      </w:pPr>
      <w:r>
        <w:rPr>
          <w:rFonts w:ascii="Arial" w:cs="Arial" w:eastAsia="Arial" w:hAnsi="Arial"/>
          <w:sz w:val="17"/>
          <w:szCs w:val="17"/>
          <w:color w:val="auto"/>
        </w:rPr>
        <w:t>Under the Israeli Companies Law, our compensation committee is responsible for (i) proposing a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adopted an office holder compensation policy as required under the Israeli Companies Law.</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Our Board of Directors does not currently have a nominating committee, as director nominees are presented by our Board of Directors to our shareholders based upon the nominations made by the Board of Directors itself. We currently rely upon the exemption available to foreign private issuers under the Listing Rules of the NASDAQ Stock Market relating to independent director oversight of nominations to our Board of Directors and the adoption of a formal written charter or board resolution addressing the nominations process. See Item 16.G. Corporate Governance.</w:t>
      </w:r>
    </w:p>
    <w:p>
      <w:pPr>
        <w:spacing w:after="0" w:line="17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do not have service contracts with any of our directors, except for Dr. Yaron Daniely. The remaining directors’ compensation has been approved by our shareholders.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57" w:lineRule="exact"/>
        <w:rPr>
          <w:sz w:val="20"/>
          <w:szCs w:val="20"/>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person (or a relative of a person) who holds more than 5% of the Company's outstanding shares or voting rights;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211" w:lineRule="exact"/>
        <w:rPr>
          <w:rFonts w:ascii="Arial" w:cs="Arial" w:eastAsia="Arial" w:hAnsi="Arial"/>
          <w:sz w:val="18"/>
          <w:szCs w:val="18"/>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member of the Company's independent accounting firm, or anyone on his or her behalf.</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479" w:gutter="0" w:footer="0" w:header="0"/>
        </w:sectPr>
      </w:pPr>
    </w:p>
    <w:bookmarkStart w:id="60" w:name="page61"/>
    <w:bookmarkEnd w:id="60"/>
    <w:p>
      <w:pPr>
        <w:ind w:right="120" w:firstLine="405"/>
        <w:spacing w:after="0" w:line="277" w:lineRule="auto"/>
        <w:rPr>
          <w:sz w:val="20"/>
          <w:szCs w:val="20"/>
          <w:color w:val="auto"/>
        </w:rPr>
      </w:pPr>
      <w:r>
        <w:rPr>
          <w:rFonts w:ascii="Arial" w:cs="Arial" w:eastAsia="Arial" w:hAnsi="Arial"/>
          <w:sz w:val="18"/>
          <w:szCs w:val="18"/>
          <w:color w:val="auto"/>
        </w:rPr>
        <w:t>Guy Sapir, CPA, a partner at PWC Israel, was appointed as our internal auditor. The role of the internal auditor is to examine, among other things, our compliance with applicable law and orderly business procedures.</w:t>
      </w:r>
    </w:p>
    <w:p>
      <w:pPr>
        <w:spacing w:after="0" w:line="153"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b w:val="1"/>
          <w:bCs w:val="1"/>
          <w:color w:val="auto"/>
        </w:rPr>
        <w:t>6.D.</w:t>
      </w:r>
      <w:r>
        <w:rPr>
          <w:sz w:val="20"/>
          <w:szCs w:val="20"/>
          <w:color w:val="auto"/>
        </w:rPr>
        <w:tab/>
      </w:r>
      <w:r>
        <w:rPr>
          <w:rFonts w:ascii="Arial" w:cs="Arial" w:eastAsia="Arial" w:hAnsi="Arial"/>
          <w:sz w:val="15"/>
          <w:szCs w:val="15"/>
          <w:b w:val="1"/>
          <w:bCs w:val="1"/>
          <w:color w:val="auto"/>
        </w:rPr>
        <w:t>Employees</w:t>
      </w:r>
    </w:p>
    <w:p>
      <w:pPr>
        <w:spacing w:after="0" w:line="216" w:lineRule="exact"/>
        <w:rPr>
          <w:sz w:val="20"/>
          <w:szCs w:val="20"/>
          <w:color w:val="auto"/>
        </w:rPr>
      </w:pPr>
    </w:p>
    <w:p>
      <w:pPr>
        <w:ind w:right="40" w:firstLine="401"/>
        <w:spacing w:after="0" w:line="302" w:lineRule="auto"/>
        <w:rPr>
          <w:sz w:val="20"/>
          <w:szCs w:val="20"/>
          <w:color w:val="auto"/>
        </w:rPr>
      </w:pPr>
      <w:r>
        <w:rPr>
          <w:rFonts w:ascii="Arial" w:cs="Arial" w:eastAsia="Arial" w:hAnsi="Arial"/>
          <w:sz w:val="16"/>
          <w:szCs w:val="16"/>
          <w:color w:val="auto"/>
        </w:rPr>
        <w:t>As of the date hereof we have 19 employees. Our management consists of our Chief Executive Officer, Chief Financial Officer, Chief Medical Officer, Chief Commercial Officer, SVP CMC (chemistry manufacturing and controls), SVP for Finance, SVP for Preclinical Development, SVP for Regulatory Affairs as well as our Director of Quality Assurance. We further have service agreements with U.S.-based regulatory consultants as well as additional U.S.-based clinical consultants who are members of our clinical advisory board. We believe that we maintain good relations with all of them.</w:t>
      </w:r>
    </w:p>
    <w:p>
      <w:pPr>
        <w:spacing w:after="0" w:line="13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b w:val="1"/>
          <w:bCs w:val="1"/>
          <w:color w:val="auto"/>
        </w:rPr>
        <w:t>6.E.</w:t>
      </w:r>
      <w:r>
        <w:rPr>
          <w:sz w:val="20"/>
          <w:szCs w:val="20"/>
          <w:color w:val="auto"/>
        </w:rPr>
        <w:tab/>
      </w:r>
      <w:r>
        <w:rPr>
          <w:rFonts w:ascii="Arial" w:cs="Arial" w:eastAsia="Arial" w:hAnsi="Arial"/>
          <w:sz w:val="15"/>
          <w:szCs w:val="15"/>
          <w:b w:val="1"/>
          <w:bCs w:val="1"/>
          <w:color w:val="auto"/>
        </w:rPr>
        <w:t>Share ownership</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2, 2016, each of our executive officers and directors, other than Dr. Daniely, beneficially owned less than 1% of our Ordinary Shares. Dr.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Daniely owned 2%.</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information about the options to purchase our Ordinary Shares owned by Dr. Daniely that were outstanding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2, 2016:</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000" w:type="dxa"/>
            <w:vAlign w:val="bottom"/>
          </w:tcPr>
          <w:p>
            <w:pPr>
              <w:jc w:val="center"/>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221"/>
        </w:trPr>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9"/>
              </w:rPr>
              <w:t>OUTSTANDING</w:t>
            </w:r>
          </w:p>
        </w:tc>
        <w:tc>
          <w:tcPr>
            <w:tcW w:w="80" w:type="dxa"/>
            <w:vAlign w:val="bottom"/>
          </w:tcPr>
          <w:p>
            <w:pPr>
              <w:spacing w:after="0"/>
              <w:rPr>
                <w:sz w:val="19"/>
                <w:szCs w:val="19"/>
                <w:color w:val="auto"/>
              </w:rPr>
            </w:pPr>
          </w:p>
        </w:tc>
        <w:tc>
          <w:tcPr>
            <w:tcW w:w="1840" w:type="dxa"/>
            <w:vAlign w:val="bottom"/>
            <w:gridSpan w:val="3"/>
          </w:tcPr>
          <w:p>
            <w:pPr>
              <w:ind w:left="80"/>
              <w:spacing w:after="0"/>
              <w:rPr>
                <w:sz w:val="20"/>
                <w:szCs w:val="20"/>
                <w:color w:val="auto"/>
              </w:rPr>
            </w:pPr>
            <w:r>
              <w:rPr>
                <w:rFonts w:ascii="Arial" w:cs="Arial" w:eastAsia="Arial" w:hAnsi="Arial"/>
                <w:sz w:val="18"/>
                <w:szCs w:val="18"/>
                <w:b w:val="1"/>
                <w:bCs w:val="1"/>
                <w:color w:val="auto"/>
              </w:rPr>
              <w:t>EXERCISE PRICE</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rPr>
              <w:t>EXPIRATION DATE</w:t>
            </w:r>
          </w:p>
        </w:tc>
      </w:tr>
      <w:tr>
        <w:trPr>
          <w:trHeight w:val="183"/>
        </w:trPr>
        <w:tc>
          <w:tcPr>
            <w:tcW w:w="20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340,460</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49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0.33</w:t>
            </w:r>
          </w:p>
        </w:tc>
        <w:tc>
          <w:tcPr>
            <w:tcW w:w="140" w:type="dxa"/>
            <w:vAlign w:val="bottom"/>
            <w:tcBorders>
              <w:top w:val="single" w:sz="8" w:color="CCEEFF"/>
            </w:tcBorders>
            <w:shd w:val="clear" w:color="auto" w:fill="CCEEFF"/>
          </w:tcPr>
          <w:p>
            <w:pPr>
              <w:spacing w:after="0"/>
              <w:rPr>
                <w:sz w:val="15"/>
                <w:szCs w:val="15"/>
                <w:color w:val="auto"/>
              </w:rPr>
            </w:pPr>
          </w:p>
        </w:tc>
        <w:tc>
          <w:tcPr>
            <w:tcW w:w="40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November 15, 2020</w:t>
            </w:r>
          </w:p>
        </w:tc>
      </w:tr>
      <w:tr>
        <w:trPr>
          <w:trHeight w:val="189"/>
        </w:trPr>
        <w:tc>
          <w:tcPr>
            <w:tcW w:w="2000" w:type="dxa"/>
            <w:vAlign w:val="bottom"/>
          </w:tcPr>
          <w:p>
            <w:pPr>
              <w:jc w:val="center"/>
              <w:spacing w:after="0" w:line="189" w:lineRule="exact"/>
              <w:rPr>
                <w:sz w:val="20"/>
                <w:szCs w:val="20"/>
                <w:color w:val="auto"/>
              </w:rPr>
            </w:pPr>
            <w:r>
              <w:rPr>
                <w:rFonts w:ascii="Arial" w:cs="Arial" w:eastAsia="Arial" w:hAnsi="Arial"/>
                <w:sz w:val="18"/>
                <w:szCs w:val="18"/>
                <w:color w:val="auto"/>
                <w:w w:val="90"/>
              </w:rPr>
              <w:t>89,553</w:t>
            </w:r>
          </w:p>
        </w:tc>
        <w:tc>
          <w:tcPr>
            <w:tcW w:w="760" w:type="dxa"/>
            <w:vAlign w:val="bottom"/>
            <w:gridSpan w:val="2"/>
          </w:tcPr>
          <w:p>
            <w:pPr>
              <w:jc w:val="right"/>
              <w:ind w:right="49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8.00</w:t>
            </w:r>
          </w:p>
        </w:tc>
        <w:tc>
          <w:tcPr>
            <w:tcW w:w="4060" w:type="dxa"/>
            <w:vAlign w:val="bottom"/>
          </w:tcPr>
          <w:p>
            <w:pPr>
              <w:jc w:val="center"/>
              <w:spacing w:after="0" w:line="189" w:lineRule="exact"/>
              <w:rPr>
                <w:sz w:val="20"/>
                <w:szCs w:val="20"/>
                <w:color w:val="auto"/>
              </w:rPr>
            </w:pPr>
            <w:r>
              <w:rPr>
                <w:rFonts w:ascii="Arial" w:cs="Arial" w:eastAsia="Arial" w:hAnsi="Arial"/>
                <w:sz w:val="18"/>
                <w:szCs w:val="18"/>
                <w:color w:val="auto"/>
                <w:w w:val="88"/>
              </w:rPr>
              <w:t>January 2, 2023</w:t>
            </w:r>
          </w:p>
        </w:tc>
      </w:tr>
      <w:tr>
        <w:trPr>
          <w:trHeight w:val="189"/>
        </w:trPr>
        <w:tc>
          <w:tcPr>
            <w:tcW w:w="2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37,500</w:t>
            </w:r>
          </w:p>
        </w:tc>
        <w:tc>
          <w:tcPr>
            <w:tcW w:w="760" w:type="dxa"/>
            <w:vAlign w:val="bottom"/>
            <w:gridSpan w:val="2"/>
            <w:shd w:val="clear" w:color="auto" w:fill="CCEEFF"/>
          </w:tcPr>
          <w:p>
            <w:pPr>
              <w:jc w:val="right"/>
              <w:ind w:right="49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23.85</w:t>
            </w:r>
          </w:p>
        </w:tc>
        <w:tc>
          <w:tcPr>
            <w:tcW w:w="40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February 17, 2020</w:t>
            </w: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89"/>
              </w:rPr>
              <w:t>400,000</w:t>
            </w:r>
          </w:p>
        </w:tc>
        <w:tc>
          <w:tcPr>
            <w:tcW w:w="7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c>
          <w:tcPr>
            <w:tcW w:w="4060" w:type="dxa"/>
            <w:vAlign w:val="bottom"/>
          </w:tcPr>
          <w:p>
            <w:pPr>
              <w:jc w:val="center"/>
              <w:spacing w:after="0"/>
              <w:rPr>
                <w:sz w:val="20"/>
                <w:szCs w:val="20"/>
                <w:color w:val="auto"/>
              </w:rPr>
            </w:pPr>
            <w:r>
              <w:rPr>
                <w:rFonts w:ascii="Arial" w:cs="Arial" w:eastAsia="Arial" w:hAnsi="Arial"/>
                <w:sz w:val="18"/>
                <w:szCs w:val="18"/>
                <w:color w:val="auto"/>
                <w:w w:val="91"/>
              </w:rPr>
              <w:t>March 30, 2020</w:t>
            </w:r>
          </w:p>
        </w:tc>
      </w:tr>
    </w:tbl>
    <w:p>
      <w:pPr>
        <w:spacing w:after="0" w:line="16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On March 2, 2016, additional 192,487 options were granted to Dr. Daniely with an exercise price of $4.55. Such grant of options is subject to the approval of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Incentive Option Plan</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maintain one equity incentive plan - our 2010 Incentive Option Plan, or our 2010 Plan. As of March 2, 2016, a total of 3,078,102 shares were reserved for issuance under our 2010 Plan, of which options to purchase 2,781,549 ordinary shares were issued and outstanding thereunder (out of which 276,487 options are subject to the approval of our shareholders). Of such outstanding options, options to purchase 857,957 ordinary shares were vested as of March 2, 2016, with a weighted average exercise price of $6.454 per share.</w:t>
      </w:r>
    </w:p>
    <w:p>
      <w:pPr>
        <w:spacing w:after="0" w:line="18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Our 2010 Plan, which was adopted by our Board of Directors in February, 2010, and approved by our shareholders in July 2015, provides for the grant of options to our and our affiliates’ respective directors, employees, office holders, service providers and consultants. On December 16, 2014, our Board of Directors adopted an appendix to the 2010 Plan for U.S. residents, which was later approved by our shareholders. The initial reserved pool under our 2010 plan has been increased by our Board of Directors a number of times, and most recently on March 2, 2016.</w:t>
      </w:r>
    </w:p>
    <w:p>
      <w:pPr>
        <w:spacing w:after="0" w:line="171"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2010 Plan is administered by our Board of Directors or by a committee thereof, which shall determine, subject to Israeli and U.S. law, the grantees of awards and various terms of the grant. The 2010 Plan provides for granting options in compliance with Section 102 of the Israeli Income Tax Ordinance, 1961, or the Ordinance, and under the United States Revenue Code of 1986, as amended.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Options granted under the 2010 Plan to Israeli employees have been granted under the capital gains track of Section 102 of the Ordinance.</w:t>
      </w:r>
    </w:p>
    <w:p>
      <w:pPr>
        <w:spacing w:after="0" w:line="23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61" w:name="page62"/>
    <w:bookmarkEnd w:id="61"/>
    <w:p>
      <w:pPr>
        <w:ind w:right="140" w:firstLine="405"/>
        <w:spacing w:after="0" w:line="290" w:lineRule="auto"/>
        <w:rPr>
          <w:sz w:val="20"/>
          <w:szCs w:val="20"/>
          <w:color w:val="auto"/>
        </w:rPr>
      </w:pPr>
      <w:r>
        <w:rPr>
          <w:rFonts w:ascii="Arial" w:cs="Arial" w:eastAsia="Arial" w:hAnsi="Arial"/>
          <w:sz w:val="16"/>
          <w:szCs w:val="16"/>
          <w:color w:val="auto"/>
        </w:rPr>
        <w:t>Options granted under the 2010 Plan will generally vest over four years commencing on the date of grant such that 25% vest after one year and an additional 6.25% vest at the end of each subsequent three-month period thereafter for 36 months, or pursuant to a vesting schedule that is determined according to pre-specified performance milestones in accordance with company’s objectives. Options that are not exercised within the pre-specified option term (generally five or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6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the event of a merger or consolidation of our company subsequent to which we shall no longer exist as a legal entity, or a sale of all, or substantially all, of our shares or assets or other transaction having a similar effect on us, then: (i) pursuant to resolutions of our board of directors, 1,836,330 options will become fully vested; (ii) other outstanding options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seven days, following which all outstanding options shall terminate.</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7.A.</w:t>
      </w:r>
      <w:r>
        <w:rPr>
          <w:sz w:val="20"/>
          <w:szCs w:val="20"/>
          <w:color w:val="auto"/>
        </w:rPr>
        <w:tab/>
      </w:r>
      <w:r>
        <w:rPr>
          <w:rFonts w:ascii="Arial" w:cs="Arial" w:eastAsia="Arial" w:hAnsi="Arial"/>
          <w:sz w:val="16"/>
          <w:szCs w:val="16"/>
          <w:b w:val="1"/>
          <w:bCs w:val="1"/>
          <w:color w:val="auto"/>
        </w:rPr>
        <w:t>Major shareholders</w:t>
      </w:r>
    </w:p>
    <w:p>
      <w:pPr>
        <w:spacing w:after="0" w:line="21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by each person or entity known to beneficially own more than 5% of our ordinary shares as of March 1, 2016, or a different date, if so provided in the table below or footnotes thereof.</w:t>
      </w:r>
    </w:p>
    <w:p>
      <w:pPr>
        <w:spacing w:after="0" w:line="17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According to our transfer agent, as of March 1, 2016, there were three record holders of our ordinary shares, one of which (Cede &amp; Co., the nominee of the Depositary Trust Company) is a U.S. holder holding 99% of our ordinary shares. The number of record holders in the United States is not representative of the number of beneficial holders nor is it representative of where such beneficial holders are resident since many of these ordinary shares are held by brokers or other nominees. None of our shareholders have different voting rights from other shareholders.</w:t>
      </w:r>
    </w:p>
    <w:p>
      <w:pPr>
        <w:spacing w:after="0" w:line="17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are not owned or controlled, directly or indirectly, by another corporation or by any foreign government. We are not aware of any arrangement that may, at a subsequent date, result in a change of control of our company.</w:t>
      </w:r>
    </w:p>
    <w:p>
      <w:pPr>
        <w:spacing w:after="0" w:line="170"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Alcobra Ltd., Azrieli Triangle Building, 132 Derech Menachem Begin, 39th Floor, Tel Aviv 6701101 Israel.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Ordinary Shares</w:t>
            </w:r>
          </w:p>
        </w:tc>
      </w:tr>
      <w:tr>
        <w:trPr>
          <w:trHeight w:val="234"/>
        </w:trPr>
        <w:tc>
          <w:tcPr>
            <w:tcW w:w="7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Beneficially Owned</w:t>
            </w:r>
          </w:p>
        </w:tc>
      </w:tr>
      <w:tr>
        <w:trPr>
          <w:trHeight w:val="223"/>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top w:val="single" w:sz="8" w:color="auto"/>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Percentage</w:t>
            </w:r>
          </w:p>
        </w:tc>
        <w:tc>
          <w:tcPr>
            <w:tcW w:w="160" w:type="dxa"/>
            <w:vAlign w:val="bottom"/>
            <w:tcBorders>
              <w:bottom w:val="single" w:sz="8" w:color="CCEEFF"/>
            </w:tcBorders>
          </w:tcPr>
          <w:p>
            <w:pPr>
              <w:spacing w:after="0"/>
              <w:rPr>
                <w:sz w:val="19"/>
                <w:szCs w:val="19"/>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RA Capital Management, LLC, RA Capital Healthcare Fund, L.P and Peter Kolchinsky (1)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3,032,911</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Franklin Resources, Inc., Charles B. Johnson, Rupert H. Johnson, Jr., Franklin Advisers, Inc. (2)</w:t>
            </w:r>
          </w:p>
        </w:tc>
        <w:tc>
          <w:tcPr>
            <w:tcW w:w="1140" w:type="dxa"/>
            <w:vAlign w:val="bottom"/>
          </w:tcPr>
          <w:p>
            <w:pPr>
              <w:jc w:val="right"/>
              <w:spacing w:after="0"/>
              <w:rPr>
                <w:sz w:val="20"/>
                <w:szCs w:val="20"/>
                <w:color w:val="auto"/>
              </w:rPr>
            </w:pPr>
            <w:r>
              <w:rPr>
                <w:rFonts w:ascii="Arial" w:cs="Arial" w:eastAsia="Arial" w:hAnsi="Arial"/>
                <w:sz w:val="18"/>
                <w:szCs w:val="18"/>
                <w:color w:val="auto"/>
              </w:rPr>
              <w:t>2,848,581</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Udi Gilboa (3)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2,360,816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Baker Bros. Advisors LP, Baker Bros. Advisors (GP) LLC, Felix J. Baker, Julian C. Baker (4)</w:t>
            </w:r>
          </w:p>
        </w:tc>
        <w:tc>
          <w:tcPr>
            <w:tcW w:w="1140" w:type="dxa"/>
            <w:vAlign w:val="bottom"/>
          </w:tcPr>
          <w:p>
            <w:pPr>
              <w:jc w:val="right"/>
              <w:spacing w:after="0"/>
              <w:rPr>
                <w:sz w:val="20"/>
                <w:szCs w:val="20"/>
                <w:color w:val="auto"/>
              </w:rPr>
            </w:pPr>
            <w:r>
              <w:rPr>
                <w:rFonts w:ascii="Arial" w:cs="Arial" w:eastAsia="Arial" w:hAnsi="Arial"/>
                <w:sz w:val="18"/>
                <w:szCs w:val="18"/>
                <w:color w:val="auto"/>
              </w:rPr>
              <w:t>2,336,359</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 Point Partners, LLC, Jeffrey R. Jay and David Kroin (5)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2,012,622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David M. Slager, Regals Fund LP and Regals Capital Management LP (6)</w:t>
            </w:r>
          </w:p>
        </w:tc>
        <w:tc>
          <w:tcPr>
            <w:tcW w:w="1140" w:type="dxa"/>
            <w:vAlign w:val="bottom"/>
          </w:tcPr>
          <w:p>
            <w:pPr>
              <w:jc w:val="right"/>
              <w:spacing w:after="0"/>
              <w:rPr>
                <w:sz w:val="20"/>
                <w:szCs w:val="20"/>
                <w:color w:val="auto"/>
              </w:rPr>
            </w:pPr>
            <w:r>
              <w:rPr>
                <w:rFonts w:ascii="Arial" w:cs="Arial" w:eastAsia="Arial" w:hAnsi="Arial"/>
                <w:sz w:val="18"/>
                <w:szCs w:val="18"/>
                <w:color w:val="auto"/>
              </w:rPr>
              <w:t>1,716,377</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02"/>
        </w:trPr>
        <w:tc>
          <w:tcPr>
            <w:tcW w:w="7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Venrock Healthcare Capital Partners, L.P., VHCP Co-Investment Holdings, LLC, Venrock Healthcare</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Partners II, L.P., VHCP Co-Investment Holdings II, LLC, VHCP Management, LLC, VHCP</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II, LLC, Bong Koh and Anders Hove (7)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1,615,000</w:t>
            </w: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Broadfin Capital, LLC, Broadfin Healthcare Master Fund, Ltd. and Kevin Kotler (8)</w:t>
            </w:r>
          </w:p>
        </w:tc>
        <w:tc>
          <w:tcPr>
            <w:tcW w:w="1140" w:type="dxa"/>
            <w:vAlign w:val="bottom"/>
          </w:tcPr>
          <w:p>
            <w:pPr>
              <w:jc w:val="right"/>
              <w:spacing w:after="0"/>
              <w:rPr>
                <w:sz w:val="20"/>
                <w:szCs w:val="20"/>
                <w:color w:val="auto"/>
              </w:rPr>
            </w:pPr>
            <w:r>
              <w:rPr>
                <w:rFonts w:ascii="Arial" w:cs="Arial" w:eastAsia="Arial" w:hAnsi="Arial"/>
                <w:sz w:val="18"/>
                <w:szCs w:val="18"/>
                <w:color w:val="auto"/>
              </w:rPr>
              <w:t>1,557,106</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Knoll Capital Management (9)</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1,115,315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bl>
    <w:p>
      <w:pPr>
        <w:spacing w:after="0" w:line="188" w:lineRule="exact"/>
        <w:rPr>
          <w:sz w:val="20"/>
          <w:szCs w:val="20"/>
          <w:color w:val="auto"/>
        </w:rPr>
      </w:pPr>
    </w:p>
    <w:p>
      <w:pPr>
        <w:ind w:left="920" w:hanging="453"/>
        <w:spacing w:after="0"/>
        <w:tabs>
          <w:tab w:leader="none" w:pos="92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Based solely on an Amendment 1 to Schedule 13G filed with the SEC November 18, 2015, and which reflects holdings as of November 13, 2015.</w:t>
      </w:r>
    </w:p>
    <w:p>
      <w:pPr>
        <w:spacing w:after="0" w:line="21" w:lineRule="exact"/>
        <w:rPr>
          <w:rFonts w:ascii="Arial" w:cs="Arial" w:eastAsia="Arial" w:hAnsi="Arial"/>
          <w:sz w:val="16"/>
          <w:szCs w:val="16"/>
          <w:i w:val="1"/>
          <w:iCs w:val="1"/>
          <w:color w:val="auto"/>
        </w:rPr>
      </w:pPr>
    </w:p>
    <w:p>
      <w:pPr>
        <w:ind w:left="920" w:hanging="453"/>
        <w:spacing w:after="0" w:line="219" w:lineRule="auto"/>
        <w:tabs>
          <w:tab w:leader="none" w:pos="92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 Schedule 13G filed with the SEC January 8, 2016, and which reflects holdings as of December 31, 2015.</w:t>
      </w:r>
    </w:p>
    <w:p>
      <w:pPr>
        <w:ind w:left="920" w:right="360" w:hanging="453"/>
        <w:spacing w:after="0" w:line="219" w:lineRule="auto"/>
        <w:tabs>
          <w:tab w:leader="none" w:pos="92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an Amendment 2 to Schedule 13G filed with the SEC on February 16, 2016, and which reflects holdings as of December 31, 2015.</w:t>
      </w:r>
    </w:p>
    <w:p>
      <w:pPr>
        <w:ind w:left="920" w:hanging="453"/>
        <w:spacing w:after="0" w:line="219" w:lineRule="auto"/>
        <w:tabs>
          <w:tab w:leader="none" w:pos="92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 Schedule 13G filed with the SEC on February 16, 2016, and which reflects holdings as of December 31, 2015</w:t>
      </w:r>
    </w:p>
    <w:p>
      <w:pPr>
        <w:ind w:left="920" w:right="360" w:hanging="453"/>
        <w:spacing w:after="0" w:line="233" w:lineRule="auto"/>
        <w:tabs>
          <w:tab w:leader="none" w:pos="92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an Amendment 1 to Schedule 13G filed with the SEC on February 16, 2016, and which reflects holdings as of December 31, 2015.</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2" w:name="page63"/>
    <w:bookmarkEnd w:id="62"/>
    <w:p>
      <w:pPr>
        <w:ind w:left="920" w:right="360" w:hanging="453"/>
        <w:spacing w:after="0" w:line="228" w:lineRule="auto"/>
        <w:tabs>
          <w:tab w:leader="none" w:pos="92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an Amendment 1 to Schedule 13G filed with the SEC on February 16, 2016, and which reflects holdings as of December 31, 2015.</w:t>
      </w:r>
    </w:p>
    <w:p>
      <w:pPr>
        <w:ind w:left="920" w:right="360" w:hanging="453"/>
        <w:spacing w:after="0" w:line="219" w:lineRule="auto"/>
        <w:tabs>
          <w:tab w:leader="none" w:pos="92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an Amendment 1 to Schedule 13G filed with the SEC on February 16, 2016, and which reflects holdings as of December 31, 2015.</w:t>
      </w:r>
    </w:p>
    <w:p>
      <w:pPr>
        <w:ind w:left="920" w:right="380" w:hanging="453"/>
        <w:spacing w:after="0" w:line="219" w:lineRule="auto"/>
        <w:tabs>
          <w:tab w:leader="none" w:pos="92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an Amendment 1 to Schedule 13G filed with the SEC on February 11, 2016, and which reflects holdings as of December 31, 2015.</w:t>
      </w:r>
    </w:p>
    <w:p>
      <w:pPr>
        <w:ind w:left="920" w:right="420" w:hanging="453"/>
        <w:spacing w:after="0" w:line="233" w:lineRule="auto"/>
        <w:tabs>
          <w:tab w:leader="none" w:pos="92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an Amendment 2 to Schedule 13G filed with the SEC on February 17, 2016, and which reflects holdings as of February 17, 2015.</w:t>
      </w:r>
    </w:p>
    <w:p>
      <w:pPr>
        <w:spacing w:after="0" w:line="1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7.B.</w:t>
      </w:r>
      <w:r>
        <w:rPr>
          <w:sz w:val="20"/>
          <w:szCs w:val="20"/>
          <w:color w:val="auto"/>
        </w:rPr>
        <w:tab/>
      </w:r>
      <w:r>
        <w:rPr>
          <w:rFonts w:ascii="Arial" w:cs="Arial" w:eastAsia="Arial" w:hAnsi="Arial"/>
          <w:sz w:val="16"/>
          <w:szCs w:val="16"/>
          <w:b w:val="1"/>
          <w:bCs w:val="1"/>
          <w:color w:val="auto"/>
        </w:rPr>
        <w:t>Related party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80" w:firstLine="389"/>
        <w:spacing w:after="0" w:line="279" w:lineRule="auto"/>
        <w:rPr>
          <w:sz w:val="20"/>
          <w:szCs w:val="20"/>
          <w:color w:val="auto"/>
        </w:rPr>
      </w:pPr>
      <w:r>
        <w:rPr>
          <w:rFonts w:ascii="Arial" w:cs="Arial" w:eastAsia="Arial" w:hAnsi="Arial"/>
          <w:sz w:val="17"/>
          <w:szCs w:val="17"/>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ind w:right="80" w:firstLine="389"/>
        <w:spacing w:after="0" w:line="279" w:lineRule="auto"/>
        <w:rPr>
          <w:sz w:val="20"/>
          <w:szCs w:val="20"/>
          <w:color w:val="auto"/>
        </w:rPr>
      </w:pPr>
      <w:r>
        <w:rPr>
          <w:rFonts w:ascii="Arial" w:cs="Arial" w:eastAsia="Arial" w:hAnsi="Arial"/>
          <w:sz w:val="17"/>
          <w:szCs w:val="17"/>
          <w:color w:val="auto"/>
        </w:rPr>
        <w:t>Since our inception we have granted options to purchase our ordinary shares to our officers and certain of our directors. Such option agreements may contain acceleration provisions upon certain merger, acquisition, or change of control transactions. We describe our option plans under Item 6.E. Share Ownership “Share Option Plans” above. If the relationship between us and an executive officer or a director is terminated, except for cause (as defined in the various option plan agreements), options that are vested will generally remain exercisable for ninety days after such 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 and Insurance Coverage</w:t>
      </w:r>
    </w:p>
    <w:p>
      <w:pPr>
        <w:spacing w:after="0" w:line="225" w:lineRule="exact"/>
        <w:rPr>
          <w:sz w:val="20"/>
          <w:szCs w:val="20"/>
          <w:color w:val="auto"/>
        </w:rPr>
      </w:pPr>
    </w:p>
    <w:p>
      <w:pPr>
        <w:ind w:firstLine="389"/>
        <w:spacing w:after="0" w:line="259" w:lineRule="auto"/>
        <w:rPr>
          <w:sz w:val="20"/>
          <w:szCs w:val="20"/>
          <w:color w:val="auto"/>
        </w:rPr>
      </w:pPr>
      <w:r>
        <w:rPr>
          <w:rFonts w:ascii="Arial" w:cs="Arial" w:eastAsia="Arial" w:hAnsi="Arial"/>
          <w:sz w:val="18"/>
          <w:szCs w:val="18"/>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We have also obtained Directors &amp; Officers insurance for each of our officers and directors.</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7.C.</w:t>
      </w:r>
      <w:r>
        <w:rPr>
          <w:sz w:val="20"/>
          <w:szCs w:val="20"/>
          <w:color w:val="auto"/>
        </w:rPr>
        <w:tab/>
      </w:r>
      <w:r>
        <w:rPr>
          <w:rFonts w:ascii="Arial" w:cs="Arial" w:eastAsia="Arial" w:hAnsi="Arial"/>
          <w:sz w:val="15"/>
          <w:szCs w:val="15"/>
          <w:b w:val="1"/>
          <w:bCs w:val="1"/>
          <w:color w:val="auto"/>
        </w:rPr>
        <w:t>Interests of experts and counsel</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tab/>
        <w:t>FINANCIAL INFORMATION</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8.A.</w:t>
      </w:r>
      <w:r>
        <w:rPr>
          <w:sz w:val="20"/>
          <w:szCs w:val="20"/>
          <w:color w:val="auto"/>
        </w:rPr>
        <w:tab/>
      </w:r>
      <w:r>
        <w:rPr>
          <w:rFonts w:ascii="Arial" w:cs="Arial" w:eastAsia="Arial" w:hAnsi="Arial"/>
          <w:sz w:val="16"/>
          <w:szCs w:val="16"/>
          <w:b w:val="1"/>
          <w:bCs w:val="1"/>
          <w:color w:val="auto"/>
        </w:rPr>
        <w:t>Consolidated statements and other financial information</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Item 18.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40" w:firstLine="389"/>
        <w:spacing w:after="0" w:line="288" w:lineRule="auto"/>
        <w:rPr>
          <w:sz w:val="20"/>
          <w:szCs w:val="20"/>
          <w:color w:val="auto"/>
        </w:rPr>
      </w:pPr>
      <w:r>
        <w:rPr>
          <w:rFonts w:ascii="Arial" w:cs="Arial" w:eastAsia="Arial" w:hAnsi="Arial"/>
          <w:sz w:val="16"/>
          <w:szCs w:val="16"/>
          <w:color w:val="auto"/>
        </w:rPr>
        <w:t>On December 16, 2014, a class action lawsuit was filed against us and certain of our current and former officers and directors in the United States District Court for the Southern District of New York. The complaint, brought by a putative class of investors, alleges, among other things, that our officers and directors made false or misleading statements relating to the results of our Phase 3 study for our MDX drug candidate. On May 20, 2015, we moved to dismiss the complaint. The motion to dismiss has been fully briefed, and oral argument occurred on September 22, 2015, and the court’s decision remains pending. Such legal proceedings, regardless of their outcome, could be costly, divert management attention, or damage our reputation and demand for our products. Litigation, particularly in the United States, is inherently unpredictable and unexpectedly high awards of damages can result if we receive an adverse verdict. In many cases, particularly in the United States, the practice of the plaintiffs’ bar is to claim damages (compensatory, punitive and statutory) in extremely high amounts. Accordingly, it is difficult to quantify the potential exposure to claims in many proceedings of the type mentioned above. Unfavorable resolution of current and similar future proceedings could have a material adverse effect on our financial condition and results of operations. See Item 3.D. Risk Factors “We may be subject to any number of legal proceedings, which may be expensive and could divert management attention.”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95" w:right="259" w:bottom="1440" w:gutter="0" w:footer="0" w:header="0"/>
        </w:sectPr>
      </w:pPr>
    </w:p>
    <w:bookmarkStart w:id="63" w:name="page64"/>
    <w:bookmarkEnd w:id="63"/>
    <w:p>
      <w:pPr>
        <w:ind w:right="220" w:firstLine="405"/>
        <w:spacing w:after="0" w:line="277" w:lineRule="auto"/>
        <w:rPr>
          <w:sz w:val="20"/>
          <w:szCs w:val="20"/>
          <w:color w:val="auto"/>
        </w:rPr>
      </w:pPr>
      <w:r>
        <w:rPr>
          <w:rFonts w:ascii="Arial" w:cs="Arial" w:eastAsia="Arial" w:hAnsi="Arial"/>
          <w:sz w:val="18"/>
          <w:szCs w:val="18"/>
          <w:color w:val="auto"/>
        </w:rPr>
        <w:t>The Israeli Companies Law imposes further restrictions on our ability to declare and pay dividends. See Item 10.B. Articles of Association “Dividend and Liquidation Rights” for additional information.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 of dividends may be subject to Israeli withholding taxes. See Item 10.E. Taxation, for additional information.</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8.B.</w:t>
      </w:r>
      <w:r>
        <w:rPr>
          <w:sz w:val="20"/>
          <w:szCs w:val="20"/>
          <w:color w:val="auto"/>
        </w:rPr>
        <w:tab/>
      </w:r>
      <w:r>
        <w:rPr>
          <w:rFonts w:ascii="Arial" w:cs="Arial" w:eastAsia="Arial" w:hAnsi="Arial"/>
          <w:sz w:val="15"/>
          <w:szCs w:val="15"/>
          <w:b w:val="1"/>
          <w:bCs w:val="1"/>
          <w:color w:val="auto"/>
        </w:rPr>
        <w:t>Significant changes</w:t>
      </w:r>
    </w:p>
    <w:p>
      <w:pPr>
        <w:spacing w:after="0" w:line="216" w:lineRule="exact"/>
        <w:rPr>
          <w:sz w:val="20"/>
          <w:szCs w:val="20"/>
          <w:color w:val="auto"/>
        </w:rPr>
      </w:pPr>
    </w:p>
    <w:p>
      <w:pPr>
        <w:ind w:right="100" w:firstLine="389"/>
        <w:spacing w:after="0" w:line="277" w:lineRule="auto"/>
        <w:rPr>
          <w:sz w:val="20"/>
          <w:szCs w:val="20"/>
          <w:color w:val="auto"/>
        </w:rPr>
      </w:pPr>
      <w:r>
        <w:rPr>
          <w:rFonts w:ascii="Arial" w:cs="Arial" w:eastAsia="Arial" w:hAnsi="Arial"/>
          <w:sz w:val="18"/>
          <w:szCs w:val="18"/>
          <w:color w:val="auto"/>
        </w:rPr>
        <w:t>Except as disclosed elsewhere in this annual report, there have been no other significant changes from December 31, 2015, until the date of the filing of this annual report.</w:t>
      </w:r>
    </w:p>
    <w:p>
      <w:pPr>
        <w:spacing w:after="0" w:line="1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9.A.</w:t>
      </w:r>
      <w:r>
        <w:rPr>
          <w:sz w:val="20"/>
          <w:szCs w:val="20"/>
          <w:color w:val="auto"/>
        </w:rPr>
        <w:tab/>
      </w:r>
      <w:r>
        <w:rPr>
          <w:rFonts w:ascii="Arial" w:cs="Arial" w:eastAsia="Arial" w:hAnsi="Arial"/>
          <w:sz w:val="16"/>
          <w:szCs w:val="16"/>
          <w:b w:val="1"/>
          <w:bCs w:val="1"/>
          <w:color w:val="auto"/>
        </w:rPr>
        <w:t>Offer and listing details</w:t>
      </w:r>
    </w:p>
    <w:p>
      <w:pPr>
        <w:spacing w:after="0" w:line="216" w:lineRule="exact"/>
        <w:rPr>
          <w:sz w:val="20"/>
          <w:szCs w:val="20"/>
          <w:color w:val="auto"/>
        </w:rPr>
      </w:pPr>
    </w:p>
    <w:p>
      <w:pPr>
        <w:ind w:right="40" w:firstLine="389"/>
        <w:spacing w:after="0" w:line="259" w:lineRule="auto"/>
        <w:rPr>
          <w:sz w:val="20"/>
          <w:szCs w:val="20"/>
          <w:color w:val="auto"/>
        </w:rPr>
      </w:pPr>
      <w:r>
        <w:rPr>
          <w:rFonts w:ascii="Arial" w:cs="Arial" w:eastAsia="Arial" w:hAnsi="Arial"/>
          <w:sz w:val="18"/>
          <w:szCs w:val="18"/>
          <w:color w:val="auto"/>
        </w:rPr>
        <w:t>Our ordinary shares have been listed on the NASDAQ Capital Market under the symbol “ADHD” since May 22, 2013. Starting from March 28, 2014, our ordinary shares have been be listed on the NASDAQ Global Market. Prior to that date, there was no public trading market for our ordinary shares. Our initial public offering was priced at $8.00 per share on May 21, 2013. The following table sets forth for the periods indicated the high and low sales prices per ordinary share as reported on the NASDAQ Capital Market and the NASDAQ Global Market: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Annual Information:</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High</w:t>
            </w: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7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2015</w:t>
            </w: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Quarterly Information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First Quarter 2014</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17.11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Third Quarter 2014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14.77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22.19</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First Quarter 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Third Quarter 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5.61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Monthly Information: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2015</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October 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5.28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December 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February 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r>
      <w:tr>
        <w:trPr>
          <w:trHeight w:val="404"/>
        </w:trPr>
        <w:tc>
          <w:tcPr>
            <w:tcW w:w="600" w:type="dxa"/>
            <w:vAlign w:val="bottom"/>
          </w:tcPr>
          <w:p>
            <w:pPr>
              <w:spacing w:after="0"/>
              <w:rPr>
                <w:sz w:val="20"/>
                <w:szCs w:val="20"/>
                <w:color w:val="auto"/>
              </w:rPr>
            </w:pPr>
            <w:r>
              <w:rPr>
                <w:rFonts w:ascii="Arial" w:cs="Arial" w:eastAsia="Arial" w:hAnsi="Arial"/>
                <w:sz w:val="18"/>
                <w:szCs w:val="18"/>
                <w:b w:val="1"/>
                <w:bCs w:val="1"/>
                <w:color w:val="auto"/>
              </w:rPr>
              <w:t>9.B.</w:t>
            </w:r>
          </w:p>
        </w:tc>
        <w:tc>
          <w:tcPr>
            <w:tcW w:w="7860" w:type="dxa"/>
            <w:vAlign w:val="bottom"/>
          </w:tcPr>
          <w:p>
            <w:pPr>
              <w:ind w:left="220"/>
              <w:spacing w:after="0"/>
              <w:rPr>
                <w:sz w:val="20"/>
                <w:szCs w:val="20"/>
                <w:color w:val="auto"/>
              </w:rPr>
            </w:pPr>
            <w:r>
              <w:rPr>
                <w:rFonts w:ascii="Arial" w:cs="Arial" w:eastAsia="Arial" w:hAnsi="Arial"/>
                <w:sz w:val="18"/>
                <w:szCs w:val="18"/>
                <w:b w:val="1"/>
                <w:bCs w:val="1"/>
                <w:color w:val="auto"/>
              </w:rPr>
              <w:t>Plan of distribution</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9.C.</w:t>
      </w:r>
      <w:r>
        <w:rPr>
          <w:sz w:val="20"/>
          <w:szCs w:val="20"/>
          <w:color w:val="auto"/>
        </w:rPr>
        <w:tab/>
      </w:r>
      <w:r>
        <w:rPr>
          <w:rFonts w:ascii="Arial" w:cs="Arial" w:eastAsia="Arial" w:hAnsi="Arial"/>
          <w:sz w:val="16"/>
          <w:szCs w:val="16"/>
          <w:b w:val="1"/>
          <w:bCs w:val="1"/>
          <w:color w:val="auto"/>
        </w:rPr>
        <w:t>Market for Ordinary Shares</w:t>
      </w:r>
    </w:p>
    <w:p>
      <w:pPr>
        <w:spacing w:after="0" w:line="216" w:lineRule="exact"/>
        <w:rPr>
          <w:sz w:val="20"/>
          <w:szCs w:val="20"/>
          <w:color w:val="auto"/>
        </w:rPr>
      </w:pPr>
    </w:p>
    <w:p>
      <w:pPr>
        <w:ind w:right="200" w:firstLine="389"/>
        <w:spacing w:after="0" w:line="277" w:lineRule="auto"/>
        <w:rPr>
          <w:sz w:val="20"/>
          <w:szCs w:val="20"/>
          <w:color w:val="auto"/>
        </w:rPr>
      </w:pPr>
      <w:r>
        <w:rPr>
          <w:rFonts w:ascii="Arial" w:cs="Arial" w:eastAsia="Arial" w:hAnsi="Arial"/>
          <w:sz w:val="18"/>
          <w:szCs w:val="18"/>
          <w:color w:val="auto"/>
        </w:rPr>
        <w:t>Our Ordinary Shares have been quoted on the NASDAQ Capital Market since May 22, 2013 under the symbol ADHD. Starting from March 28, 2014, our Shares have been quoted on the NASDAQ Global Market.</w:t>
      </w:r>
    </w:p>
    <w:p>
      <w:pPr>
        <w:spacing w:after="0" w:line="1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9.D.</w:t>
      </w:r>
      <w:r>
        <w:rPr>
          <w:sz w:val="20"/>
          <w:szCs w:val="20"/>
          <w:color w:val="auto"/>
        </w:rPr>
        <w:tab/>
      </w:r>
      <w:r>
        <w:rPr>
          <w:rFonts w:ascii="Arial" w:cs="Arial" w:eastAsia="Arial" w:hAnsi="Arial"/>
          <w:sz w:val="15"/>
          <w:szCs w:val="15"/>
          <w:b w:val="1"/>
          <w:bCs w:val="1"/>
          <w:color w:val="auto"/>
        </w:rPr>
        <w:t>Selling shareholders</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9.E.</w:t>
      </w:r>
      <w:r>
        <w:rPr>
          <w:sz w:val="20"/>
          <w:szCs w:val="20"/>
          <w:color w:val="auto"/>
        </w:rPr>
        <w:tab/>
      </w:r>
      <w:r>
        <w:rPr>
          <w:rFonts w:ascii="Arial" w:cs="Arial" w:eastAsia="Arial" w:hAnsi="Arial"/>
          <w:sz w:val="16"/>
          <w:szCs w:val="16"/>
          <w:b w:val="1"/>
          <w:bCs w:val="1"/>
          <w:color w:val="auto"/>
        </w:rPr>
        <w:t>Dilution</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9.F.</w:t>
      </w:r>
      <w:r>
        <w:rPr>
          <w:sz w:val="20"/>
          <w:szCs w:val="20"/>
          <w:color w:val="auto"/>
        </w:rPr>
        <w:tab/>
      </w:r>
      <w:r>
        <w:rPr>
          <w:rFonts w:ascii="Arial" w:cs="Arial" w:eastAsia="Arial" w:hAnsi="Arial"/>
          <w:sz w:val="15"/>
          <w:szCs w:val="15"/>
          <w:b w:val="1"/>
          <w:bCs w:val="1"/>
          <w:color w:val="auto"/>
        </w:rPr>
        <w:t>Expenses of the issue</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spacing w:after="0"/>
        <w:tabs>
          <w:tab w:leader="none" w:pos="102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10.A.</w:t>
      </w:r>
      <w:r>
        <w:rPr>
          <w:sz w:val="20"/>
          <w:szCs w:val="20"/>
          <w:color w:val="auto"/>
        </w:rPr>
        <w:tab/>
      </w:r>
      <w:r>
        <w:rPr>
          <w:rFonts w:ascii="Arial" w:cs="Arial" w:eastAsia="Arial" w:hAnsi="Arial"/>
          <w:sz w:val="16"/>
          <w:szCs w:val="16"/>
          <w:b w:val="1"/>
          <w:bCs w:val="1"/>
          <w:color w:val="auto"/>
        </w:rPr>
        <w:t>Share capital</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10.B.</w:t>
      </w:r>
      <w:r>
        <w:rPr>
          <w:sz w:val="20"/>
          <w:szCs w:val="20"/>
          <w:color w:val="auto"/>
        </w:rPr>
        <w:tab/>
      </w:r>
      <w:r>
        <w:rPr>
          <w:rFonts w:ascii="Arial" w:cs="Arial" w:eastAsia="Arial" w:hAnsi="Arial"/>
          <w:sz w:val="15"/>
          <w:szCs w:val="15"/>
          <w:b w:val="1"/>
          <w:bCs w:val="1"/>
          <w:color w:val="auto"/>
        </w:rPr>
        <w:t>Articles of Association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Register</w:t>
      </w:r>
    </w:p>
    <w:p>
      <w:pPr>
        <w:spacing w:after="0" w:line="225" w:lineRule="exact"/>
        <w:rPr>
          <w:sz w:val="20"/>
          <w:szCs w:val="20"/>
          <w:color w:val="auto"/>
        </w:rPr>
      </w:pPr>
    </w:p>
    <w:p>
      <w:pPr>
        <w:ind w:right="280" w:firstLine="383"/>
        <w:spacing w:after="0" w:line="277" w:lineRule="auto"/>
        <w:rPr>
          <w:sz w:val="20"/>
          <w:szCs w:val="20"/>
          <w:color w:val="auto"/>
        </w:rPr>
      </w:pPr>
      <w:r>
        <w:rPr>
          <w:rFonts w:ascii="Arial" w:cs="Arial" w:eastAsia="Arial" w:hAnsi="Arial"/>
          <w:sz w:val="18"/>
          <w:szCs w:val="18"/>
          <w:color w:val="auto"/>
        </w:rPr>
        <w:t>We are registered with the Israeli Registrar of Companies. Our registration number is 51-409899-5. Section 1.2 of our articles of association provides that we may engage in any type of lawful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right="280" w:firstLine="383"/>
        <w:spacing w:after="0" w:line="255" w:lineRule="auto"/>
        <w:rPr>
          <w:sz w:val="20"/>
          <w:szCs w:val="20"/>
          <w:color w:val="auto"/>
        </w:rPr>
      </w:pPr>
      <w:r>
        <w:rPr>
          <w:rFonts w:ascii="Arial" w:cs="Arial" w:eastAsia="Arial" w:hAnsi="Arial"/>
          <w:sz w:val="18"/>
          <w:szCs w:val="18"/>
          <w:color w:val="auto"/>
        </w:rPr>
        <w:t>The Israeli Companies Law requires that certain transactions, actions and arrangements be approved as provided for in a company's articles of association and in certain circumstances by the audit committee, the compensation committee, by the board of directors itself and by the shareholders. The vote required by the audit committee and the board of directors for approval of such matters, in each case, is a majority of the disinterested directors participating in a duly convened meeting. If, however, a majority of the members participating in such meeting have a personal interest in the approval of such matter, then all directors may participate in the discussions and the voting on approval thereof and in such case the matter shall be subject to further shareholder approval.</w:t>
      </w:r>
    </w:p>
    <w:p>
      <w:pPr>
        <w:spacing w:after="0" w:line="193" w:lineRule="exact"/>
        <w:rPr>
          <w:sz w:val="20"/>
          <w:szCs w:val="20"/>
          <w:color w:val="auto"/>
        </w:rPr>
      </w:pPr>
    </w:p>
    <w:p>
      <w:pPr>
        <w:ind w:firstLine="401"/>
        <w:spacing w:after="0" w:line="269"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169" w:lineRule="exact"/>
        <w:rPr>
          <w:sz w:val="20"/>
          <w:szCs w:val="20"/>
          <w:color w:val="auto"/>
        </w:rPr>
      </w:pPr>
    </w:p>
    <w:p>
      <w:pPr>
        <w:ind w:left="920" w:hanging="453"/>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198" w:lineRule="exact"/>
        <w:rPr>
          <w:rFonts w:ascii="Arial" w:cs="Arial" w:eastAsia="Arial" w:hAnsi="Arial"/>
          <w:sz w:val="18"/>
          <w:szCs w:val="18"/>
          <w:color w:val="auto"/>
        </w:rPr>
      </w:pPr>
    </w:p>
    <w:p>
      <w:pPr>
        <w:ind w:left="920" w:hanging="453"/>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12"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w:t>
      </w:r>
    </w:p>
    <w:p>
      <w:pPr>
        <w:spacing w:after="0" w:line="17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53" w:lineRule="exact"/>
        <w:rPr>
          <w:sz w:val="20"/>
          <w:szCs w:val="20"/>
          <w:color w:val="auto"/>
        </w:rPr>
      </w:pPr>
    </w:p>
    <w:p>
      <w:pPr>
        <w:ind w:left="920" w:hanging="453"/>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disinterested majority; or</w:t>
      </w:r>
    </w:p>
    <w:p>
      <w:pPr>
        <w:spacing w:after="0" w:line="198" w:lineRule="exact"/>
        <w:rPr>
          <w:rFonts w:ascii="Arial" w:cs="Arial" w:eastAsia="Arial" w:hAnsi="Arial"/>
          <w:sz w:val="18"/>
          <w:szCs w:val="18"/>
          <w:color w:val="auto"/>
        </w:rPr>
      </w:pPr>
    </w:p>
    <w:p>
      <w:pPr>
        <w:ind w:left="920" w:right="120" w:hanging="453"/>
        <w:spacing w:after="0" w:line="307" w:lineRule="auto"/>
        <w:tabs>
          <w:tab w:leader="none" w:pos="9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34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5" w:name="page66"/>
    <w:bookmarkEnd w:id="65"/>
    <w:p>
      <w:pPr>
        <w:ind w:right="40" w:firstLine="405"/>
        <w:spacing w:after="0" w:line="308"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47"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generally, the shareholders, in that order.</w:t>
      </w:r>
    </w:p>
    <w:p>
      <w:pPr>
        <w:spacing w:after="0" w:line="18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articles of association provide that, all actions done bona fide at any meeting of the board of directors or by a committee thereof or by any person(s) acting as director(s) will, notwithstanding that it may afterwards be discovered that there was some defect in the appointment of the participants in such meeting or any of them or any person(s) acting as aforesaid, or that they or any of them were disqualified, be as valid as if there were no such defector disqualification.</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Pursuant to the Israeli Companies Law, generally a director who has a personal interest in an extraordinary transaction which is brought for discussion before our board of directors or its committees shall neither vote in nor attend discussions concerning the approval of such transaction. If the director did vote or attend as aforesaid, the approval given to the aforesaid activity or arrangement will generally be invalid.</w:t>
      </w:r>
    </w:p>
    <w:p>
      <w:pPr>
        <w:spacing w:after="0" w:line="18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Our articles of association provide that, subject to the Israeli Companies Law, our board of directors may delegate its authority, in whole or in part, to such committees of the board of directors as it deems appropriate, and it may from time to time revoke such delegation. To the extent permitted by the Israeli Companies Law, our board of directors may from time to time confer upon and delegate to a President, Chief Executive Officer, Chief Operating Officer or other executive officer then holding office, such authorities and duties of the board of directors as it deems fit, and they may delegate such authorities and duties for such period and for such purposes and subject to such conditions and restrictions which they consider in our best interests, without waiving the authorities of the board of directors with respect thereto.</w:t>
      </w:r>
    </w:p>
    <w:p>
      <w:pPr>
        <w:spacing w:after="0" w:line="19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Arrangements regarding compensation of directors require the approval of the compensation committee, audit committee, our board of directors and the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Preferences and Restrictions of Shares</w:t>
      </w:r>
    </w:p>
    <w:p>
      <w:pPr>
        <w:spacing w:after="0" w:line="212" w:lineRule="exact"/>
        <w:rPr>
          <w:sz w:val="20"/>
          <w:szCs w:val="20"/>
          <w:color w:val="auto"/>
        </w:rPr>
      </w:pPr>
    </w:p>
    <w:p>
      <w:pPr>
        <w:ind w:left="920" w:hanging="453"/>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Our share capital is NIS 500,000, divided into 50,000,000 Ordinary shares NIS 0.01 par value per share.</w:t>
      </w:r>
    </w:p>
    <w:p>
      <w:pPr>
        <w:spacing w:after="0" w:line="198" w:lineRule="exact"/>
        <w:rPr>
          <w:rFonts w:ascii="Arial" w:cs="Arial" w:eastAsia="Arial" w:hAnsi="Arial"/>
          <w:sz w:val="18"/>
          <w:szCs w:val="18"/>
          <w:color w:val="auto"/>
        </w:rPr>
      </w:pPr>
    </w:p>
    <w:p>
      <w:pPr>
        <w:ind w:left="920" w:right="180" w:hanging="453"/>
        <w:spacing w:after="0" w:line="246"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Ordinary Shares do not have cumulative voting rights in the election of directors. As a result, the holders of Ordinary Shares that represent more than 50% of the voting power have the power to elect all the Directors.</w:t>
      </w:r>
    </w:p>
    <w:p>
      <w:pPr>
        <w:spacing w:after="0" w:line="169" w:lineRule="exact"/>
        <w:rPr>
          <w:rFonts w:ascii="Arial" w:cs="Arial" w:eastAsia="Arial" w:hAnsi="Arial"/>
          <w:sz w:val="18"/>
          <w:szCs w:val="18"/>
          <w:color w:val="auto"/>
        </w:rPr>
      </w:pPr>
    </w:p>
    <w:p>
      <w:pPr>
        <w:ind w:left="920" w:hanging="453"/>
        <w:spacing w:after="0" w:line="256" w:lineRule="auto"/>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Dividend and liquidation rights.</w:t>
      </w:r>
      <w:r>
        <w:rPr>
          <w:rFonts w:ascii="Arial" w:cs="Arial" w:eastAsia="Arial" w:hAnsi="Arial"/>
          <w:sz w:val="16"/>
          <w:szCs w:val="16"/>
          <w:color w:val="auto"/>
        </w:rPr>
        <w:t xml:space="preserve"> Our board of directors may declare a dividend to be paid to the holders of our Ordinary Shares according to their rights and interests in our profits and may fix the record date for eligibility and the time for payment. The directors may from time to time pay to the shareholders on account of the next forthcoming dividend such interim dividends as, in their judgment, our position justifies. All dividends unclaimed for one year after having been declared may be invested or otherwise used by the directors for our benefit until claimed. No unpaid dividend or interest shall bear interest as against us. Our board of directors may determine that a dividend may be paid, wholly or partially, by the distribution of certain of our assets or by a distribution of paid up shares, debentures or debenture stock or any of our securities or of any other companies or in any one or more of such ways in the manner and to the extent permitted by the Israeli Companies Law.</w:t>
      </w:r>
    </w:p>
    <w:p>
      <w:pPr>
        <w:spacing w:after="0" w:line="165" w:lineRule="exact"/>
        <w:rPr>
          <w:rFonts w:ascii="Arial" w:cs="Arial" w:eastAsia="Arial" w:hAnsi="Arial"/>
          <w:sz w:val="16"/>
          <w:szCs w:val="16"/>
          <w:color w:val="auto"/>
        </w:rPr>
      </w:pPr>
    </w:p>
    <w:p>
      <w:pPr>
        <w:ind w:left="920" w:right="260" w:hanging="453"/>
        <w:spacing w:after="0" w:line="246" w:lineRule="auto"/>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Transfer of shares; record dates.</w:t>
      </w:r>
      <w:r>
        <w:rPr>
          <w:rFonts w:ascii="Arial" w:cs="Arial" w:eastAsia="Arial" w:hAnsi="Arial"/>
          <w:sz w:val="17"/>
          <w:szCs w:val="17"/>
          <w:color w:val="auto"/>
        </w:rPr>
        <w:t xml:space="preserve"> Fully paid up Ordinary Shares may be freely transferred pursuant to our amended and restated articles of association unless such transfer is restricted or prohibited by another instrument or securities laws. Each shareholder who would be entitled to attend and vote at a General Meeting of shareholders is entitled to receive notice of any such meeting. For purposes of determining the shareholders entitled to notice and to vote at such meeting, the board of directors will fix a record date.</w:t>
      </w:r>
    </w:p>
    <w:p>
      <w:pPr>
        <w:spacing w:after="0" w:line="170" w:lineRule="exact"/>
        <w:rPr>
          <w:rFonts w:ascii="Arial" w:cs="Arial" w:eastAsia="Arial" w:hAnsi="Arial"/>
          <w:sz w:val="17"/>
          <w:szCs w:val="17"/>
          <w:color w:val="auto"/>
        </w:rPr>
      </w:pPr>
    </w:p>
    <w:p>
      <w:pPr>
        <w:ind w:left="920" w:right="20" w:hanging="453"/>
        <w:spacing w:after="0" w:line="256" w:lineRule="auto"/>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Voting; annual general and extraordinary meetings.</w:t>
      </w:r>
      <w:r>
        <w:rPr>
          <w:rFonts w:ascii="Arial" w:cs="Arial" w:eastAsia="Arial" w:hAnsi="Arial"/>
          <w:sz w:val="16"/>
          <w:szCs w:val="16"/>
          <w:color w:val="auto"/>
        </w:rPr>
        <w:t xml:space="preserve"> Subject to any rights or restrictions for the time being attached to any class or classes of shares, each shareholder shall have one vote for each share of which he or she is the holder, whether on a show of hands or on a poll. Our articles of association do not permit cumulative voting and it is not mandated by Israeli law. Votes may be given either personally or by proxy. A proxy need not be a shareholder. If any shareholder is without legal capacity, he may vote by means of a trustee or a legal custodian, who may vote either personally or by proxy. If two or more persons are jointly entitled to a share then, in voting upon any question, the vote of the senior person who tenders a vote, whether in person or by proxy, shall be accepted to the exclusion of the votes of the other registered holders of the share and, for this purpose seniority shall be determined by the order in which the names stand in the shareholder register.</w:t>
      </w:r>
    </w:p>
    <w:p>
      <w:pPr>
        <w:spacing w:after="0" w:line="165" w:lineRule="exact"/>
        <w:rPr>
          <w:rFonts w:ascii="Arial" w:cs="Arial" w:eastAsia="Arial" w:hAnsi="Arial"/>
          <w:sz w:val="16"/>
          <w:szCs w:val="16"/>
          <w:color w:val="auto"/>
        </w:rPr>
      </w:pPr>
    </w:p>
    <w:p>
      <w:pPr>
        <w:ind w:left="920" w:right="100" w:hanging="453"/>
        <w:spacing w:after="0" w:line="228"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Quorum for general meetings.</w:t>
      </w:r>
      <w:r>
        <w:rPr>
          <w:rFonts w:ascii="Arial" w:cs="Arial" w:eastAsia="Arial" w:hAnsi="Arial"/>
          <w:sz w:val="18"/>
          <w:szCs w:val="18"/>
          <w:color w:val="auto"/>
        </w:rPr>
        <w:t xml:space="preserve"> The quorum required for our general meetings of shareholders consists of at least two shareholders present in person, by proxy or written ballot who holds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6" w:name="page67"/>
    <w:bookmarkEnd w:id="66"/>
    <w:p>
      <w:pPr>
        <w:ind w:left="920" w:right="20" w:hanging="453"/>
        <w:spacing w:after="0"/>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Notice of general meetings.</w:t>
      </w:r>
      <w:r>
        <w:rPr>
          <w:rFonts w:ascii="Arial" w:cs="Arial" w:eastAsia="Arial" w:hAnsi="Arial"/>
          <w:sz w:val="17"/>
          <w:szCs w:val="17"/>
          <w:color w:val="auto"/>
        </w:rPr>
        <w:t xml:space="preserve"> Unless a longer period for notice is prescribed by the Israeli Companies Law, at least 10 days and not more than 60 days’ notice of any general meeting shall be given, specifying the place, the day and the hour of the meeting and, in the case of special business, the nature of such business, shall be given in the manner hereinafter mentioned, to such shareholders as are under the provisions of our articles of association, entitled to receive notices from us. Only shareholders of record as reflected on our share register at the close of business on the date fixed by the board of directors as the record date determining the then shareholders who will be entitled to vote, shall be entitled to notice of, and to vote, in person or by proxy, at a general meeting and any postponement or adjournment thereof.</w:t>
      </w:r>
    </w:p>
    <w:p>
      <w:pPr>
        <w:spacing w:after="0" w:line="177" w:lineRule="exact"/>
        <w:rPr>
          <w:rFonts w:ascii="Arial" w:cs="Arial" w:eastAsia="Arial" w:hAnsi="Arial"/>
          <w:sz w:val="17"/>
          <w:szCs w:val="17"/>
          <w:color w:val="auto"/>
        </w:rPr>
      </w:pPr>
    </w:p>
    <w:p>
      <w:pPr>
        <w:ind w:left="920" w:right="80" w:hanging="453"/>
        <w:spacing w:after="0" w:line="239" w:lineRule="auto"/>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Annual; agenda; calling a general meeting.</w:t>
      </w:r>
      <w:r>
        <w:rPr>
          <w:rFonts w:ascii="Arial" w:cs="Arial" w:eastAsia="Arial" w:hAnsi="Arial"/>
          <w:sz w:val="17"/>
          <w:szCs w:val="17"/>
          <w:color w:val="auto"/>
        </w:rPr>
        <w:t xml:space="preserve"> General Meetings are held at least once in every calendar year at such time (within a period of 15 months after the holding of the last preceding General Meeting), and at such time and place as may be determined by the board of directors. At a General Meeting, decisions shall be adopted only on matters that were specified on the agenda. The board of directors is obligated to call extraordinary general meeting of the shareholders upon a written request in accordance with the Israeli Companies Law. The Israeli Companies Law provides that an extraordinary general meeting of shareholder may be called by the board of directors or by a request of two directors or 25% of the directors in office, or by shareholders holding at least 5% of the issued share capital of the company and at least 1% of the voting rights, or of shareholders holding at least 5% of the voting rights of the company.</w:t>
      </w:r>
    </w:p>
    <w:p>
      <w:pPr>
        <w:spacing w:after="0" w:line="176" w:lineRule="exact"/>
        <w:rPr>
          <w:rFonts w:ascii="Arial" w:cs="Arial" w:eastAsia="Arial" w:hAnsi="Arial"/>
          <w:sz w:val="17"/>
          <w:szCs w:val="17"/>
          <w:color w:val="auto"/>
        </w:rPr>
      </w:pPr>
    </w:p>
    <w:p>
      <w:pPr>
        <w:ind w:left="920" w:right="140" w:hanging="453"/>
        <w:spacing w:after="0" w:line="235"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Majority vote.</w:t>
      </w:r>
      <w:r>
        <w:rPr>
          <w:rFonts w:ascii="Arial" w:cs="Arial" w:eastAsia="Arial" w:hAnsi="Arial"/>
          <w:sz w:val="18"/>
          <w:szCs w:val="18"/>
          <w:color w:val="auto"/>
        </w:rPr>
        <w:t xml:space="preserve"> Except as otherwise provided in the articles of association, any resolution at a General Meeting shall be deemed adopted if approved by the holders of a majority of our voting rights represented at the meeting in person or by proxy and voting thereon. In the case of an equality of votes, the chairman of the meeting shall not be entitled to a further vote.</w:t>
      </w:r>
    </w:p>
    <w:p>
      <w:pPr>
        <w:spacing w:after="0" w:line="175" w:lineRule="exact"/>
        <w:rPr>
          <w:rFonts w:ascii="Arial" w:cs="Arial" w:eastAsia="Arial" w:hAnsi="Arial"/>
          <w:sz w:val="18"/>
          <w:szCs w:val="18"/>
          <w:color w:val="auto"/>
        </w:rPr>
      </w:pPr>
    </w:p>
    <w:p>
      <w:pPr>
        <w:ind w:left="920" w:right="500" w:hanging="453"/>
        <w:spacing w:after="0" w:line="246"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Discrimination against shareholders.</w:t>
      </w:r>
      <w:r>
        <w:rPr>
          <w:rFonts w:ascii="Arial" w:cs="Arial" w:eastAsia="Arial" w:hAnsi="Arial"/>
          <w:sz w:val="18"/>
          <w:szCs w:val="18"/>
          <w:color w:val="auto"/>
        </w:rPr>
        <w:t xml:space="preserve"> According to our articles of association, there are no discriminating provisions against any existing or prospective holders of our shares as a result of a shareholder holding a substantial number of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 of Class Rights</w:t>
      </w:r>
    </w:p>
    <w:p>
      <w:pPr>
        <w:spacing w:after="0" w:line="225"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If, at any time, the share capital is divided into different classes of shares, the rights attached to any class (unless otherwise provided by the terms of issuance of the shares of that class) may be varied with the consent in writing of the holders of all the issued shares of that class, or with the sanction of a majority vote at a meeting of the shareholders passed at a separate meeting of the holders of the shares of the class. The provisions of our articles of association relating to general meetings shall apply, mutatis mutandis, to every such separate general meeting. Any holder of shares of the class present in person or by proxy may demand a secret poll.</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Unless otherwise provided by the conditions of issuance, the enlargement of an existing class of shares, or the issuance of additional shares thereof, shall not be deemed to modify or abrogate the rights attached to the previously issued shares of such class or of any other class. These conditions provide for the minimum shareholder approvals permitted by the Israeli Companies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on Shareholders Rights to Own Securities</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Our articles of association and the laws of the State of Israel do not restrict in any way the ownership or voting or our shares by non-residents of Israel, except with respect to subjects of countries which are in a state of war with Israel.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under Israeli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tender offer</w:t>
      </w:r>
    </w:p>
    <w:p>
      <w:pPr>
        <w:spacing w:after="0" w:line="229"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w:t>
      </w:r>
    </w:p>
    <w:p>
      <w:pPr>
        <w:spacing w:after="0" w:line="181"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issued and outstanding share capital of a certain class of shares is required to make a tender offer to all of the shareholders who hold shares of the same class for the purchase of all of the issued and outstanding shares of the same class.</w:t>
      </w:r>
    </w:p>
    <w:p>
      <w:pPr>
        <w:spacing w:after="0" w:line="181"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If the shareholders who do not respond to or accept the offer hold less than 5% of the issued and outstanding share capital of the company or of the applicable class of the shares, and more than half of the shareholders who do not have a personal interest in the offer accept the offer, all of the shares that the acquirer offered to purchase will be transferred to the acquirer by operation of law. However, a tender offer will be accepted if the shareholders who do not accept it hold less than 2% of the issued and outstanding share capital of the company or of the applicable class of the shares.</w:t>
      </w:r>
    </w:p>
    <w:p>
      <w:pPr>
        <w:spacing w:after="0" w:line="154"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the Israeli court to determine whether the tender offer was for less than fair value and that the fair value should be paid as determined by the court. However, under certain conditions, the offeror may determine in the terms of the tender offer that an offeree who accepted the offer will not be entitled to petition the Israeli court as described above.</w:t>
      </w: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67" w:name="page68"/>
    <w:bookmarkEnd w:id="67"/>
    <w:p>
      <w:pPr>
        <w:ind w:right="20" w:firstLine="405"/>
        <w:spacing w:after="0" w:line="264" w:lineRule="auto"/>
        <w:rPr>
          <w:sz w:val="20"/>
          <w:szCs w:val="20"/>
          <w:color w:val="auto"/>
        </w:rPr>
      </w:pPr>
      <w:r>
        <w:rPr>
          <w:rFonts w:ascii="Arial" w:cs="Arial" w:eastAsia="Arial" w:hAnsi="Arial"/>
          <w:sz w:val="18"/>
          <w:szCs w:val="18"/>
          <w:color w:val="auto"/>
        </w:rPr>
        <w:t>If the shareholders who did not respond or accept the tender offer hold at least 5% of the issued and outstanding share capital of the company or of the applicable class, the acquirer may not acquire shares of the company that will increase its holdings to more than 90% of the company’s issued and outstanding share capital or of the applicable class from shareholders who accepted the tender offer.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tender offer</w:t>
      </w:r>
    </w:p>
    <w:p>
      <w:pPr>
        <w:spacing w:after="0" w:line="229"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at least 25% of the voting rights in the company. This rule does not apply if there is already another holder of at least 25% of the voting rights in the company.</w:t>
      </w:r>
    </w:p>
    <w:p>
      <w:pPr>
        <w:spacing w:after="0" w:line="18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w:t>
      </w:r>
    </w:p>
    <w:p>
      <w:pPr>
        <w:spacing w:after="0" w:line="18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These requirements do not apply if the acquisition (i) occurs in the context of a private offering, on the condition that the shareholders meeting approved the acquisition as a private offering whose purpose is to give the acquirer at least 25% of the voting rights in the company if there is no person who holds at least 25% of the voting rights in the company, or as a private offering whose purpose is to give the acquirer 45% of the voting rights in the company, if there is no person who holds 45% of the voting rights in the company; (ii) was from a shareholder holding at least 25% of the voting rights in the company and resulted in the acquirer becoming a holder of at least 25% of the voting rights in the company; or (iii) was from a holder of more than 45% of the voting rights in the company and resulted in the acquirer becoming a holder of more than 45% of the voting rights in the company.</w:t>
      </w:r>
    </w:p>
    <w:p>
      <w:pPr>
        <w:spacing w:after="0" w:line="17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special tender offer may be consummated only if (i) at least 5% of the voting power attached to the company’s outstanding shares will be acquired by the offeror and (ii) the special tender offer is accepted by a majority of the votes of those offerees who gave notice of their position in respect of the offer; in counting the votes of offerees, the votes of a holder of control in the offeror, a person who has personal interest in acceptance of the special tender offer, a holder of at least 25% of the voting rights in the company, or any person acting on their or on the offeror’s behalf, including their relatives or companies under their control, are not taken into account.</w:t>
      </w:r>
    </w:p>
    <w:p>
      <w:pPr>
        <w:spacing w:after="0" w:line="18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w:t>
      </w:r>
    </w:p>
    <w:p>
      <w:pPr>
        <w:spacing w:after="0" w:line="17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resulting from his acts,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188"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If a special tender offer was accepted by a majority of the shareholders who announced their stand on such offer, then shareholders who did not respond to the special offer or had objected to the special tender offer may accept the offer within four days of the last day set for the acceptance of the offer.</w:t>
      </w:r>
    </w:p>
    <w:p>
      <w:pPr>
        <w:spacing w:after="0" w:line="12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the event that a special tender offer is accepted, then the purchaser or any person or entity controlling it and any corporation controlled by them shall refrain from making a subsequent tender offer for the purchase of shares of the target company and may not execute a merger with the target company for a period of one year from the date of the offer, unless the purchaser or such person or entity undertook to effect such an offer or merger in the initial special tender offer.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22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a majority of each party’s shareholders, by a majority of each party’s shares that are voted on the proposed merger at a shareholders’ meeting.</w:t>
      </w:r>
    </w:p>
    <w:p>
      <w:pPr>
        <w:spacing w:after="0" w:line="18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board of directors of a merging company is required pursuant to the Israeli Companies Law to discuss and determine whether in its opinion there exists a reasonable concern that as a result of a proposed merger, the surviving company will not be able to satisfy its obligations towards its creditors, taking into account the financial condition of the merging companies. If the board of directors has determined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88"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shares voting at the shareholders meeting (excluding abstentions) that are held by parties other than the other party to the merger, any person who holds 25% or more of the means of control of the other party to the merger or any one on their behalf including their relatives or corporations controlled by any of them, vote against the merger.</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ind w:firstLine="405"/>
        <w:spacing w:after="0" w:line="259" w:lineRule="auto"/>
        <w:rPr>
          <w:sz w:val="20"/>
          <w:szCs w:val="20"/>
          <w:color w:val="auto"/>
        </w:rPr>
      </w:pPr>
      <w:r>
        <w:rPr>
          <w:rFonts w:ascii="Arial" w:cs="Arial" w:eastAsia="Arial" w:hAnsi="Arial"/>
          <w:sz w:val="18"/>
          <w:szCs w:val="18"/>
          <w:color w:val="auto"/>
        </w:rPr>
        <w:t>If the transaction would have been approved but for the separate approval of each class of shares or the exclusion of the votes of certain shareholders as provided above, a court may still rule that the company has approved the merger upon the request of holders of at least 25% of the voting rights of a company, if the court holds that the merger is fair and reasonable, taking into account the appraisal of the merging companies’ value and the consideration offered to the shareholders.</w:t>
      </w:r>
    </w:p>
    <w:p>
      <w:pPr>
        <w:spacing w:after="0" w:line="187"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Under the Israeli Companies Law, each merging company must send a copy of the proposed merger plan to its secured creditors. Unsecured creditors are entitled to receive notice of the merger, as provided by the regulations promulgated under the Israeli Companies Law. Upon the request of a creditor of either party to the proposed merger, the court may delay or prevent the merger if it concludes that there exists a reasonable concern that, as a result of the merger, the surviving company will be unable to satisfy the obligations of the target company. The court may also give instructions in order to secure the rights of creditors.</w:t>
      </w:r>
    </w:p>
    <w:p>
      <w:pPr>
        <w:spacing w:after="0" w:line="188"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In addition, a merger may not be completed unless at least 50 days have passed from the date that a proposal for approval of the merger was filed with the Israeli Registrar of Companies and 30 days from the date that shareholder approval of both merging companies was obtained.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Issues that Could Delay a Merger</w:t>
      </w:r>
    </w:p>
    <w:p>
      <w:pPr>
        <w:spacing w:after="0" w:line="225"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Certain provisions of Israeli corporate and tax law may have the effect of delaying, preventing or making more difficult any merger or acquisition of us. For example, any merger or acquisition of us will require the prior consent of the Chief Scientist, as well as the Investment Center. See Item 3.D. Risk factors “We are subject to anti-takeover provisions that could delay or prevent our acquisition by another entity.”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 of Disclosure of Shareholder Ownership</w:t>
      </w:r>
    </w:p>
    <w:p>
      <w:pPr>
        <w:spacing w:after="0" w:line="225"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There are no provisions of our articles of association governing the ownership threshold above which shareholder ownership must be disclosed. We are subject, however, to U.S. securities rules that require beneficial owners of more than 5% of our ordinary Shares to make certain filings with the SEC.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articles of association do not impose any conditions governing changes in capital that are more stringent than required by the Israeli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10.C.</w:t>
      </w:r>
      <w:r>
        <w:rPr>
          <w:sz w:val="20"/>
          <w:szCs w:val="20"/>
          <w:color w:val="auto"/>
        </w:rPr>
        <w:tab/>
      </w:r>
      <w:r>
        <w:rPr>
          <w:rFonts w:ascii="Arial" w:cs="Arial" w:eastAsia="Arial" w:hAnsi="Arial"/>
          <w:sz w:val="16"/>
          <w:szCs w:val="16"/>
          <w:b w:val="1"/>
          <w:bCs w:val="1"/>
          <w:color w:val="auto"/>
        </w:rPr>
        <w:t>Material contracts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10.D.</w:t>
      </w:r>
      <w:r>
        <w:rPr>
          <w:sz w:val="20"/>
          <w:szCs w:val="20"/>
          <w:color w:val="auto"/>
        </w:rPr>
        <w:tab/>
      </w:r>
      <w:r>
        <w:rPr>
          <w:rFonts w:ascii="Arial" w:cs="Arial" w:eastAsia="Arial" w:hAnsi="Arial"/>
          <w:sz w:val="15"/>
          <w:szCs w:val="15"/>
          <w:b w:val="1"/>
          <w:bCs w:val="1"/>
          <w:color w:val="auto"/>
        </w:rPr>
        <w:t>Exchange controls</w:t>
      </w:r>
    </w:p>
    <w:p>
      <w:pPr>
        <w:spacing w:after="0" w:line="216"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There are currently no Israeli currency control restrictions on payments of dividends or other distributions with respect to our ordinary shares or the proceeds from the sale of shares, except for the obligation of Israeli residents to file reports with the Bank of Israel regarding certain transactions. However, legislation remains in effect pursuant to which currency controls can be imposed by administrative action at any time.</w:t>
      </w:r>
    </w:p>
    <w:p>
      <w:pPr>
        <w:spacing w:after="0" w:line="166"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Non-residents of Israel who purchase our securities with non-Israeli currency will be able to repatriate dividends (if any), liquidation distributions and the proceeds of any sale of such securities, into non-Israeli currencies at the rate of exchange prevailing at the time of repatriation, provided that any applicable Israeli taxes have been paid (or withheld) on such amounts.</w:t>
      </w:r>
    </w:p>
    <w:p>
      <w:pPr>
        <w:spacing w:after="0" w:line="18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Neither our articles of association nor the laws of the State of Israel restrict in any way the ownership or voting of ordinary shares by non-residents of Israel, except with respect to citizens of countries that are in a state of war with Israel.</w:t>
      </w:r>
    </w:p>
    <w:p>
      <w:pPr>
        <w:spacing w:after="0" w:line="1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10.E.</w:t>
      </w:r>
      <w:r>
        <w:rPr>
          <w:sz w:val="20"/>
          <w:szCs w:val="20"/>
          <w:color w:val="auto"/>
        </w:rPr>
        <w:tab/>
      </w:r>
      <w:r>
        <w:rPr>
          <w:rFonts w:ascii="Arial" w:cs="Arial" w:eastAsia="Arial" w:hAnsi="Arial"/>
          <w:sz w:val="16"/>
          <w:szCs w:val="16"/>
          <w:b w:val="1"/>
          <w:bCs w:val="1"/>
          <w:color w:val="auto"/>
        </w:rPr>
        <w:t>Taxation</w:t>
      </w:r>
    </w:p>
    <w:p>
      <w:pPr>
        <w:spacing w:after="0" w:line="216"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following is a summary of the current tax structure, which is applicable to companies in Israel, with special reference to its effect on us. The following also contains a discussion of material Israeli and U.S. tax consequences to persons purchasing our Ordinary Shares and government programs from which we and some of our group companies benefit. To the extent that the discussion is based on new tax legislation, which has yet to be subject to judicial or administrative interpretation, there can be no assurance that the views expressed in the discussion will accord with any such interpretation in the future. The discussion is not intended and should not be construed as legal or professional tax advice and is not exhaustive of all possible tax considerations. An Israeli company that is subject to Israeli taxes on the income of its non-Israeli subsidiaries will receive a credit for income taxes paid/withheld or that will be paid/withheld by the subsidiary in its country of residence, according to the terms and conditions determined in the Israeli Tax Ordinance.</w:t>
      </w:r>
    </w:p>
    <w:p>
      <w:pPr>
        <w:spacing w:after="0" w:line="167" w:lineRule="exact"/>
        <w:rPr>
          <w:sz w:val="20"/>
          <w:szCs w:val="20"/>
          <w:color w:val="auto"/>
        </w:rPr>
      </w:pPr>
    </w:p>
    <w:p>
      <w:pPr>
        <w:jc w:val="both"/>
        <w:ind w:right="300" w:firstLine="405"/>
        <w:spacing w:after="0" w:line="286" w:lineRule="auto"/>
        <w:rPr>
          <w:sz w:val="20"/>
          <w:szCs w:val="20"/>
          <w:color w:val="auto"/>
        </w:rPr>
      </w:pPr>
      <w:r>
        <w:rPr>
          <w:rFonts w:ascii="Arial" w:cs="Arial" w:eastAsia="Arial" w:hAnsi="Arial"/>
          <w:sz w:val="17"/>
          <w:szCs w:val="17"/>
          <w:color w:val="auto"/>
        </w:rPr>
        <w:t>The following summary is included herein as general information only and is not intended as a substitute for careful tax planning. Accordingly, each investor should consult his or her own tax advisor as to the particular tax consequences to such investor of the purchase, ownership or sale of an ordinary share, including the effect of applicable state, local, foreign or other tax laws and possible changes in tax laws.</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auto"/>
        </w:rPr>
        <w:t>Israeli Taxation Considerations</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annual report and does not take into account possible future amendments which may be under consideration.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As of January 1, 2016, Israeli resident companies, such as us, are generally subject to corporate tax at the rate of 25%. Between January 1, 2014 and December 31, 2015, the corporate tax rate was 26.5%.</w:t>
      </w:r>
    </w:p>
    <w:p>
      <w:pPr>
        <w:spacing w:after="0" w:line="170"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our Israeli individual shareholders on receipt of dividends</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January 1, 2016, an additional income tax at a rate of 2% will be imposed on high earners whose annual income or gain exceeds NIS 803,520.</w:t>
      </w:r>
    </w:p>
    <w:p>
      <w:pPr>
        <w:spacing w:after="0" w:line="248"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in a general meeting of shareholders,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71"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The term “Israeli Resident” is generally defined under Israeli tax legislation with respect to individuals as a person whose center of life is in Israel. The Israeli Tax Ordinance New Version, 1961 (as amended by Amendment Law No. 132 of 2002) (the “Israeli Tax Ordinance”) determines that in order to determine the center of life of an individual, account will be taken of the individual’s family, economic and social connections, including: (a) 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Israeli Resident Corporations on Receipt of Dividends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resident corporations are generally exempt from Israeli corporate income tax with respect to dividends paid on our ordinary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Taxes Applicable to Israeli Resident Shareholders</w:t>
      </w:r>
    </w:p>
    <w:p>
      <w:pPr>
        <w:spacing w:after="0" w:line="229"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As of January 1, 2016, an additional tax at a rate of 2% will be imposed on high earners whose annual income or gains exceed NIS 803,520.</w:t>
      </w:r>
    </w:p>
    <w:p>
      <w:pPr>
        <w:spacing w:after="0" w:line="171"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Moreover, capital gains derived by a shareholder who is a dealer or trader in securities, or to whom such income is otherwise taxable as ordinary business income, are taxed in Israel at ordinary income rates (currently, 25% for corporations and up to 50% for individuals).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Non-Israeli Shareholders on Receipt of Dividends</w:t>
      </w:r>
    </w:p>
    <w:p>
      <w:pPr>
        <w:spacing w:after="0" w:line="229"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Non-Israeli residents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source, unless a lower tax rate is provided in a tax treaty between Israel and the shareholder’s country of residence.</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0" w:name="page71"/>
    <w:bookmarkEnd w:id="70"/>
    <w:p>
      <w:pPr>
        <w:jc w:val="both"/>
        <w:ind w:right="120" w:firstLine="405"/>
        <w:spacing w:after="0" w:line="264"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81"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income taxes applicable to non-Israeli shareholders.</w:t>
      </w:r>
    </w:p>
    <w:p>
      <w:pPr>
        <w:spacing w:after="0" w:line="22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Non-Israeli resident shareholders are generally exempt from Israeli capital gains tax on any gains derived from the sale, exchange or disposition of our ordinary shares, provided that such gains were not derived from a permanent establishment or business activity of such shareholders in Israel. However, non-Israeli corporations will not be entitled to the foregoing exemptions if an Israeli resident (i) has a controlling interest of more than 25% in such non-Israeli corporation or (ii) is the beneficiary of or is entitled to 25% or more of the revenues or profits of such non-Israeli corporation, whether directly or indirectly.</w:t>
      </w:r>
    </w:p>
    <w:p>
      <w:pPr>
        <w:spacing w:after="0" w:line="154"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Estate and gift tax</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 Federal Income Tax Consequences</w:t>
      </w:r>
    </w:p>
    <w:p>
      <w:pPr>
        <w:spacing w:after="0" w:line="22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ORDINARY SHARES, INCLUDING THE EFFECTS OF APPLICABLE STATE, LOCAL, FOREIGN OR OTHER TAX LAWS AND POSSIBLE CHANGES IN THE TAX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w:t>
      </w:r>
    </w:p>
    <w:p>
      <w:pPr>
        <w:spacing w:after="0" w:line="229" w:lineRule="exact"/>
        <w:rPr>
          <w:sz w:val="20"/>
          <w:szCs w:val="20"/>
          <w:color w:val="auto"/>
        </w:rPr>
      </w:pPr>
    </w:p>
    <w:p>
      <w:pPr>
        <w:jc w:val="both"/>
        <w:ind w:right="140" w:firstLine="405"/>
        <w:spacing w:after="0" w:line="291" w:lineRule="auto"/>
        <w:rPr>
          <w:sz w:val="20"/>
          <w:szCs w:val="20"/>
          <w:color w:val="auto"/>
        </w:rPr>
      </w:pPr>
      <w:r>
        <w:rPr>
          <w:rFonts w:ascii="Arial" w:cs="Arial" w:eastAsia="Arial" w:hAnsi="Arial"/>
          <w:sz w:val="16"/>
          <w:szCs w:val="16"/>
          <w:color w:val="auto"/>
        </w:rPr>
        <w:t>Subject to the limitations described in the next paragraph, the following discussion summarizes the material U.S. federal income tax consequences to a "U.S. Holder" arising from the purchase, ownership and sale of the Ordinary Shares. For this purpose, a "U.S. Holder" is a holder of Ordinary Shares that is:</w:t>
      </w:r>
    </w:p>
    <w:p>
      <w:pPr>
        <w:ind w:right="80" w:firstLine="8"/>
        <w:spacing w:after="0" w:line="287" w:lineRule="auto"/>
        <w:tabs>
          <w:tab w:leader="none" w:pos="2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individual citizen or resident of the United States, including an alien individual who is a lawful permanent resident of the United States or meets the substantial presence residency test under U.S. federal income tax laws; (2) a corporation (or other entity treated as a corporation for U.S. federal income tax purposes) or a partnership (other than a partnership that is not treated as a U.S. person under any applicable U.S. Treasury Regulations) created or organized in or under the laws of the United States or the District of Columbia or any political subdivision thereof; (3) an estate, the income of which is subject to U.S. federal income tax regardless of source; (4) a trust if a court within the United States is able to exercise primary supervision over the administration of the trust and one or more U.S. persons have authority to control all substantial decisions of the trust; (5) a trust that has a valid election in effect to be treated as a U.S. person to the extent provided in U.S. Treasury regulations; or (6) any person otherwise subject to U.S. federal income tax on a net income basis in respect of the Ordinary Shares, if such status as a U.S. Holder is not overridden pursuant to the provisions of an applicable tax treaty.</w:t>
      </w:r>
    </w:p>
    <w:p>
      <w:pPr>
        <w:spacing w:after="0" w:line="17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This summary is for general information purposes only and does not purport to be a comprehensive description of all of the U.S. federal income tax considerations that may be relevant to a decision to purchase or hold our Ordinary Shares. This summary generally considers only U.S. Holders that will own our Ordinary Shares as capital assets. Except to the limited extent discussed below,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U.S./Israel Income Tax Treaty, all as in effect as of the date hereof and all of which are subject to change, possibly on a retroactive basis, and all of which are open to differing interpretations. The Company will not seek a ruling from the U.S. Internal Revenue Service, or the IRS, with regard to the U.S. federal income tax treatment of an investment in our Ordinary Shares by U.S. Holders and, therefore, can provide no assurances that the IRS will agree with the conclusions set forth below.</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ind w:firstLine="405"/>
        <w:spacing w:after="0" w:line="269" w:lineRule="auto"/>
        <w:rPr>
          <w:sz w:val="20"/>
          <w:szCs w:val="20"/>
          <w:color w:val="auto"/>
        </w:rPr>
      </w:pPr>
      <w:r>
        <w:rPr>
          <w:rFonts w:ascii="Arial" w:cs="Arial" w:eastAsia="Arial" w:hAnsi="Arial"/>
          <w:sz w:val="17"/>
          <w:szCs w:val="17"/>
          <w:color w:val="auto"/>
        </w:rPr>
        <w:t>This discussion does not address all of the aspects of U.S. federal income taxation that may be relevant to a particular shareholder based on such shareholder's particular circumstances and in particular does not discuss any estate, gift, generation-skipping, transfer, state, local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 (3) a person who acquired our Ordinary Shares in connection with employment or other performance of services; (4) a U.S. Holder that is subject to the U.S. alternative minimum tax; (5) a U.S. Holder that holds our Ordinary Shares as a hedge or as part of a hedging, straddle, conversion or constructive sale transaction or other risk-reduction transaction for U.S. federal income tax purposes; (6) a tax-exempt entity; (7) real estate investment trusts; (8) a U.S. Holder that expatriates out of the United States or a former long-term resident of the United States; or (9) a person having a functional currency other than the U.S. dollar. This discussion does not address the U.S. federal income tax treatment of a U.S. Holder that owns, directly or constructively, at any time, Ordinary Shares representing 10% or more of our voting power. Additionally, the U.S. federal income tax treatment of persons who hold Ordinary Shares through a partnership or other pass-through entity are not considered.</w:t>
      </w:r>
    </w:p>
    <w:p>
      <w:pPr>
        <w:spacing w:after="0" w:line="183"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You are encouraged to consult your own tax advisor with respect to the specific U.S. federal and state income tax consequences to you of purchasing, holding or disposing of our Ordinary Shares, including the effects of applicable state, local, foreign or other tax laws and possible changes in the tax laws.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Ordinary Shares</w:t>
      </w:r>
    </w:p>
    <w:p>
      <w:pPr>
        <w:spacing w:after="0" w:line="229"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 xml:space="preserve">Subject to the discussion under the heading “Passive Foreign Investment Companies” below, a U.S. Holder will be required to include in gross income as ordinary income the amount of any distribution paid on Ordinary Shares (including the amount of any Israeli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Corporate holders generally will not be allowed a deduction for dividends received. For noncorporate U.S. Holders, to the extent that their total adjusted income does not exceed applicable thresholds, the maximum federal income tax rate for “qualified dividend income” and long-term capital gains is generally 15%. For those noncorporate U.S. Holders whose total adjusted income exceeds such income thresholds, the maximum federal income tax rate for “qualified dividend income” and long-term capital gains is generally 20%. For this purpose, “qualified dividend income” means, </w:t>
      </w:r>
      <w:r>
        <w:rPr>
          <w:rFonts w:ascii="Arial" w:cs="Arial" w:eastAsia="Arial" w:hAnsi="Arial"/>
          <w:sz w:val="16"/>
          <w:szCs w:val="16"/>
          <w:i w:val="1"/>
          <w:iCs w:val="1"/>
          <w:color w:val="auto"/>
        </w:rPr>
        <w:t>inter alia</w:t>
      </w:r>
      <w:r>
        <w:rPr>
          <w:rFonts w:ascii="Arial" w:cs="Arial" w:eastAsia="Arial" w:hAnsi="Arial"/>
          <w:sz w:val="16"/>
          <w:szCs w:val="16"/>
          <w:color w:val="auto"/>
        </w:rPr>
        <w:t>, dividends received from a “qualified foreign corporation.” A “qualified foreign corporation” is a corporation that is entitled to the benefits of a comprehensive tax treaty with the United States which includes an exchange of information program. The IRS has stated that the Israel/U.S. Tax Treaty satisfies this requirement and we believe we are eligible for the benefits of that treaty.</w:t>
      </w:r>
    </w:p>
    <w:p>
      <w:pPr>
        <w:spacing w:after="0" w:line="173"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In addition, our dividends will be qualified dividend income if our Ordinary Shares are readily tradable on NASDAQ or another established securities market in the United States. Dividends will not qualify for the preferential rate if we are treated, in the year the dividend is paid or in the prior year, as a passive foreign investment company, or PFIC. A U.S. Holder will not be entitled to the preferential rate: (1) if the U.S. Holder has not held our Ordinary Shares or ADRs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7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amount of a distribution with respect to our Ordinary Shares will be measured by the amount of the fair market value of any property distributed, and for U.S. federal income tax purposes, the amount of any Israeli taxes withheld therefrom. (See discussion above under “Israeli Taxation Considerations - Taxation of Our Shareholders – Dividends.”) Cash distributions paid by us in NIS will be included in the income of U.S. Holders at a U.S. dollar amount based upon the spot rate of exchange in effect on the date the dividend is includible in the income of the U.S. Holder, and U.S. Holders will have a tax basis in such NIS for U.S. federal income tax purposes equal to such U.S. dollar value. If the U.S. Holder subsequently converts the NIS, any subsequent gain or loss in respect of such NIS arising from exchange rate fluctuations will be U.S. source ordinary exchange gain or loss.</w:t>
      </w:r>
    </w:p>
    <w:p>
      <w:pPr>
        <w:spacing w:after="0" w:line="178"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Distributions paid by us will generally be foreign source income for U.S. foreign tax credit purposes. Subject to the limitations set forth in the Code, U.S. Holders may elect to claim a foreign tax credit against their U.S. income tax liability for Israeli income tax withheld from distributions received in respect of the Ordinary Shares. In general, these rules limit the amount allowable as a foreign tax credit in any year to the amount of regular U.S. tax for the year attributable to foreign source taxable income. This limitation on the use of foreign tax credits generally will not apply to an electing individual U.S. Holder whose creditable foreign taxes during the year do not exceed $300, or $600 for joint filers, if such individual's gross income for the taxable year from non-U.S. sources consists solely of certain passive income. A U.S. Holder will be denied a foreign tax credit with respect to Israeli income tax withheld from dividends received with respect to the Ordinary Shares if such U.S. Holder has not held the Ordinary Shares for at least 16 days out of the 31-day period beginning on the date that is 15 days before the ex-dividend date or to the extent that such U.S. Holder is under an obligation to make certain related payments with respect to substantially similar or related property. Any day during which a U.S. Holder has substantially diminished his or her risk of loss with respect to the Ordinary Shares will not count toward meeting the 16-day holding period. A U.S. Holder will also be denied a foreign tax credit if the U.S. Holder holds the Ordinary Shares in an arrangement in which the U.S. Holder's reasonably expected economic profit is insubstantial compared to the foreign taxes expected to be paid or accrued. The rules relating to the determination of the U.S. foreign tax credit are complex, and U.S. Holders should consult with their own tax advisors to determine whether, and to what extent, they are entitled to such credit. U.S. Holders that do not elect to claim a foreign tax credit may instead claim a deduction for Israeli income taxes withheld, provided such U.S. Holders itemize their deductions.</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Disposition of Shares</w:t>
      </w:r>
    </w:p>
    <w:p>
      <w:pPr>
        <w:spacing w:after="0" w:line="229"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Except as provided under the PFIC rules described below, upon the sale, exchange or other disposition of our Ordinary Shares, a U.S. Holder will recognize capital gain or loss in an amount equal to the difference between such U.S. Holder's tax basis in the sold Ordinary Shares and the amount realized on the disposition of such Ordinary Shares (or its U.S. dollar equivalent determined by reference to the spot rate of exchange on the date of disposition, if the amount realized is denominated in a foreign currency). The gain or loss realized on the sale or exchange or other disposition of Ordinary Shares will be long-term capital gain or loss if the U.S. Holder has a holding period of more than one year at the time of the disposition.</w:t>
      </w:r>
    </w:p>
    <w:p>
      <w:pPr>
        <w:spacing w:after="0" w:line="1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general, gain realized by a U.S. Holder on a sale, exchange or other disposition of Ordinary Shares will generally be treated as U.S. source income for U.S. foreign tax credit purposes. A loss realized by a U.S. Holder on the sale, exchange or other disposition of Ordinary Shares is generally allocated to U.S. source income. However, U.S. Treasury Regulations require such loss to be allocated to foreign source income to the extent specified dividends were received by the taxpayer within the 24-month period preceding the date on which the taxpayer recognized the loss. The deductibility of a loss realized on the sale, exchange or other disposition of Ordinary Shares is subject to limitations.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on Net Investment Income</w:t>
      </w:r>
    </w:p>
    <w:p>
      <w:pPr>
        <w:spacing w:after="0" w:line="229" w:lineRule="exact"/>
        <w:rPr>
          <w:sz w:val="20"/>
          <w:szCs w:val="20"/>
          <w:color w:val="auto"/>
        </w:rPr>
      </w:pPr>
    </w:p>
    <w:p>
      <w:pPr>
        <w:jc w:val="both"/>
        <w:ind w:right="120" w:firstLine="405"/>
        <w:spacing w:after="0" w:line="312" w:lineRule="auto"/>
        <w:rPr>
          <w:sz w:val="20"/>
          <w:szCs w:val="20"/>
          <w:color w:val="auto"/>
        </w:rPr>
      </w:pPr>
      <w:r>
        <w:rPr>
          <w:rFonts w:ascii="Arial" w:cs="Arial" w:eastAsia="Arial" w:hAnsi="Arial"/>
          <w:sz w:val="16"/>
          <w:szCs w:val="16"/>
          <w:color w:val="auto"/>
        </w:rPr>
        <w:t>U.S. Holders who are individuals, estates or trusts will generally be required to pay a 3.8%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Companies</w:t>
      </w:r>
    </w:p>
    <w:p>
      <w:pPr>
        <w:spacing w:after="0" w:line="229"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Special U.S. federal income tax laws apply to a U.S. Holder who owns shares of a corporation that was (at any time during the U.S. Holder's holding period) a PFIC. We would be treated as a PFIC for U.S. federal income tax purposes for any tax year if, in such tax year, either:</w:t>
      </w:r>
    </w:p>
    <w:p>
      <w:pPr>
        <w:spacing w:after="0" w:line="133" w:lineRule="exact"/>
        <w:rPr>
          <w:sz w:val="20"/>
          <w:szCs w:val="20"/>
          <w:color w:val="auto"/>
        </w:rPr>
      </w:pPr>
    </w:p>
    <w:p>
      <w:pPr>
        <w:ind w:left="920" w:right="100" w:hanging="453"/>
        <w:spacing w:after="0" w:line="228"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75% or more of our gross income (including our pro rata share of gross income for any company, U.S. or foreign, in which we are considered to own 25% or more of the shares by value), in a taxable year is passive (the “Income Test”); or</w:t>
      </w:r>
    </w:p>
    <w:p>
      <w:pPr>
        <w:ind w:left="920" w:right="180" w:hanging="453"/>
        <w:spacing w:after="0" w:line="229"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least 50% of our assets, averaged over the year and generally determined based upon value (including our pro rata share of the assets of any company in which we are considered to own 25% or more of the shares by value), in a taxable year are held for the production of, or produce, passive income (the “Asset Test”).</w:t>
      </w:r>
    </w:p>
    <w:p>
      <w:pPr>
        <w:spacing w:after="0" w:line="18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If we are or become a PFIC, each U.S. Holder who has not elected to treat us as a qualified electing fund by making a “QEF election”, or who has not elected to mark the shares to market (as discussed below), would, upon receipt of certain distributions by us and upon disposition of our Ordinary Shares at a gain, be liable to pay U.S. federal income tax at the then prevailing highest tax rates on ordinary income plus interest on such tax, as if the distribution or gain had been recognized ratably over the taxpayer's holding period for the Ordinary Shares.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special U.S. federal income tax rules.</w:t>
      </w:r>
    </w:p>
    <w:p>
      <w:pPr>
        <w:spacing w:after="0" w:line="18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The PFIC rules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our ordinary earnings as ordinary income and such U.S. 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 U.S. Holders should consult with their own tax advisors regarding eligibility, manner and advisability of making a QEF election if we are treated as a PFIC.</w:t>
      </w:r>
    </w:p>
    <w:p>
      <w:pPr>
        <w:spacing w:after="0" w:line="18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 U.S. Holder of PFIC shares which are traded on qualifying public markets, including the NASDAQ, can elect to mark the shares to market annually, recognizing as ordinary income or loss each year an amount equal to the difference as of the close of the taxable year between the fair market value of the PFIC shares and the U.S. Holder's adjusted tax basis in the PFIC shares. Losses are allowed only to the extent of net mark-to-market gain previously included income by the U.S. Holder under the election for prior taxable years.</w:t>
      </w:r>
    </w:p>
    <w:p>
      <w:pPr>
        <w:spacing w:after="0" w:line="18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Based on the nature of our business, the projected composition of our income and the projected composition and estimated fair market values of our assets, we believe that we may be deemed a PFIC. In particular, in light of the complexity of PFIC rules, we cannot assure you that we have not been a PFIC in prior years or are not a PFIC or will avoid becoming a PFIC in the future. U.S. Holders who hold Ordinary Shares during a period when we are a PFIC will be subject to the foregoing rules, even if we cease to be a PFIC, subject to specified exceptions for U.S. Holders who made a QEF or mark-to-market election. U.S. Holders are strongly urged to consult their tax advisors about the PFIC rules, including tax return filing requirements and the eligibility, manner, and consequences to them of making a QEF or mark-to-market election with respect to our Ordinary Shares in the event we that qualify as a PFIC.</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Information Reporting and Withholding</w:t>
      </w:r>
    </w:p>
    <w:p>
      <w:pPr>
        <w:spacing w:after="0" w:line="2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 U.S. Holder may be subject to backup withholding (at a rate of 28%)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188"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Under the Hiring Incentives to Restore Employment Act of 2010 (the “HIRE Act”), some payments made to “foreign financial institutions” in respect of accounts of U.S. stockholders at such financial institutions may be subject to withholding at a rate of 30%. U.S. Treasury Regulations provide that such withholding will only apply to distributions paid on or after January 1, 2014, and to other “withholdable payments” (including payments of gross proceeds from a sale or other disposition of our Ordinary Shares) made on or after January 1, 2017. U.S. Holders should consult their tax advisors regarding the effect, if any, of the HIRE Act on their ownership and disposition of our Ordinary Shares. See “Non-U.S. Holders of Ordinary Shares,”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 of Ordinary Shares</w:t>
      </w:r>
    </w:p>
    <w:p>
      <w:pPr>
        <w:spacing w:after="0" w:line="22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Except as provided below, an individual, corporation, estate or trust that is not a U.S. Holder generally will not be subject to U.S. federal income or withholding tax on the payment of dividends on, and the proceeds from the disposition of, our Ordinary Shares.</w:t>
      </w:r>
    </w:p>
    <w:p>
      <w:pPr>
        <w:spacing w:after="0" w:line="170"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A non-U.S. Holder may be subject to U.S. federal income or withholding tax on a dividend paid on our Ordinary Shares or the proceeds from the disposition of our Ordinary Shares if: (1) such item is effectively connected with the conduct by the non-U.S. Holder of a trade or business in the United States or, in the case of a non-U.S. Holder that is a resident of a country which has an income tax treaty with the United States, such item is attributable to a permanent establishment or, in the case of gain realized by an individual non-U.S. Holder, a fixed place of business in the United States; (2) in the case of a disposition of our Ordinary Shares, the individual non-U.S. Holder is present in the United States for 183 days or more in the taxable year of the sale and other specified conditions are met; (3) the non-U.S. Holder is subject to U.S. federal income tax pursuant to the provisions of the U.S. tax law applicable to U.S. expatriates.</w:t>
      </w:r>
    </w:p>
    <w:p>
      <w:pPr>
        <w:spacing w:after="0" w:line="189"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In general, non-U.S. Holders will not be subject to backup withholding with respect to the payment of dividends on our Ordinary Shares if payment is made through a paying agent, or office of a foreign broker outside the United States. However, if payment is made in the United States or by a U.S. related person, non-U.S. Holders may be subject to backup withholding, unless the non-U.S. Holder provides on an applicable Form W-8 (or a substantially similar form) a taxpayer identification number, certifies to its foreign status, or otherwise establishes an exemption. A U.S. related person for these purposes is a person with one or more current relationships with the United States.</w:t>
      </w:r>
    </w:p>
    <w:p>
      <w:pPr>
        <w:spacing w:after="0" w:line="18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0"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The HIRE Act may impose withholding taxes on some types of payments made to “foreign financial institutions” and some other non-U.S. entities. Under the HIRE Act, the failure to comply with additional certification, information reporting and other specified requirements could result in withholding tax being imposed on payments of dividends and sales proceeds to U.S. Holders that own Ordinary Shares through foreign accounts or foreign intermediaries and specified non-U.S. Holders. The HIRE Act imposes a 30% withholding tax on dividends on, and gross proceeds from the sale or other disposition of, Ordinary Shares paid from the United States to a foreign financial institution or to a foreign nonfinancial entity, unless (1) the foreign financial institution undertakes specified diligence and reporting obligations or (2) the foreign nonfinancial entity either certifies it does not have any substantial U.S. owners or furnishes identifying information regarding each substantial U.S. owner. In addition, if the payee is a foreign financial institution, it generally must enter into an agreement with the U.S. Treasury that requires, among other things, that it undertake to identify accounts held by specified U.S. persons or U.S.-owned foreign entities, annually report certain information about such accounts, and withhold 30% on payments to other specified account holders. U.S. Treasury Regulations provide that such withholding will only apply to distributions paid on or after January 1, 2014, and to other “withholdable payments” (including payments of gross proceeds from a sale or other disposition of our Ordinary Shares) made on or after January 1, 2017. You should consult your tax advisor regarding the HIRE Act.</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10.F.</w:t>
      </w:r>
      <w:r>
        <w:rPr>
          <w:sz w:val="20"/>
          <w:szCs w:val="20"/>
          <w:color w:val="auto"/>
        </w:rPr>
        <w:tab/>
      </w:r>
      <w:r>
        <w:rPr>
          <w:rFonts w:ascii="Arial" w:cs="Arial" w:eastAsia="Arial" w:hAnsi="Arial"/>
          <w:sz w:val="15"/>
          <w:szCs w:val="15"/>
          <w:b w:val="1"/>
          <w:bCs w:val="1"/>
          <w:color w:val="auto"/>
        </w:rPr>
        <w:t>Dividends and paying agents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10.G.</w:t>
      </w:r>
      <w:r>
        <w:rPr>
          <w:sz w:val="20"/>
          <w:szCs w:val="20"/>
          <w:color w:val="auto"/>
        </w:rPr>
        <w:tab/>
      </w:r>
      <w:r>
        <w:rPr>
          <w:rFonts w:ascii="Arial" w:cs="Arial" w:eastAsia="Arial" w:hAnsi="Arial"/>
          <w:sz w:val="16"/>
          <w:szCs w:val="16"/>
          <w:b w:val="1"/>
          <w:bCs w:val="1"/>
          <w:color w:val="auto"/>
        </w:rPr>
        <w:t>Statement by experts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4" w:name="page75"/>
    <w:bookmarkEnd w:id="74"/>
    <w:p>
      <w:pPr>
        <w:spacing w:after="0"/>
        <w:tabs>
          <w:tab w:leader="none" w:pos="800" w:val="left"/>
        </w:tabs>
        <w:rPr>
          <w:sz w:val="20"/>
          <w:szCs w:val="20"/>
          <w:color w:val="auto"/>
        </w:rPr>
      </w:pPr>
      <w:r>
        <w:rPr>
          <w:rFonts w:ascii="Arial" w:cs="Arial" w:eastAsia="Arial" w:hAnsi="Arial"/>
          <w:sz w:val="18"/>
          <w:szCs w:val="18"/>
          <w:b w:val="1"/>
          <w:bCs w:val="1"/>
          <w:color w:val="auto"/>
        </w:rPr>
        <w:t>10.H.</w:t>
      </w:r>
      <w:r>
        <w:rPr>
          <w:sz w:val="20"/>
          <w:szCs w:val="20"/>
          <w:color w:val="auto"/>
        </w:rPr>
        <w:tab/>
      </w:r>
      <w:r>
        <w:rPr>
          <w:rFonts w:ascii="Arial" w:cs="Arial" w:eastAsia="Arial" w:hAnsi="Arial"/>
          <w:sz w:val="15"/>
          <w:szCs w:val="15"/>
          <w:b w:val="1"/>
          <w:bCs w:val="1"/>
          <w:color w:val="auto"/>
        </w:rPr>
        <w:t>Documents on display</w:t>
      </w:r>
    </w:p>
    <w:p>
      <w:pPr>
        <w:spacing w:after="0" w:line="216"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We are subject to certain of the information reporting requirements of the Exchange Act, or the Exchange Act. As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within four months after the end of each fiscal year, an annual report on Form 20-F containing financial statements audited by an independent accounting firm. We publish unaudited interim financial information after the end of each quarter. We furnish this quarterly financial information to the SEC under cover of a Form 6-K.</w:t>
      </w:r>
    </w:p>
    <w:p>
      <w:pPr>
        <w:spacing w:after="0" w:line="16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You may read and copy any document we file with the SEC at its public reference facilities at 100 F Street, NE, Washington, D.C. 20549. You may also obtain copies of the documents at prescribed rates by writing to the Public Reference Section of the SEC at 100 F Street, NE, Washington, D.C. 20549. The SEC also maintains a website that contains reports, proxy and information statements and other information regarding registrants that file electronically with the SEC. The address of this website is http://www.sec.gov. Please call the SEC at 1-800-SEC-0330 for further information on the operation of the public reference facilities.</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10.I.</w:t>
      </w:r>
      <w:r>
        <w:rPr>
          <w:sz w:val="20"/>
          <w:szCs w:val="20"/>
          <w:color w:val="auto"/>
        </w:rPr>
        <w:tab/>
      </w:r>
      <w:r>
        <w:rPr>
          <w:rFonts w:ascii="Arial" w:cs="Arial" w:eastAsia="Arial" w:hAnsi="Arial"/>
          <w:sz w:val="16"/>
          <w:szCs w:val="16"/>
          <w:b w:val="1"/>
          <w:bCs w:val="1"/>
          <w:color w:val="auto"/>
        </w:rPr>
        <w:t>Subsidiary information</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the ordinary course of our operations, we are exposed to certain market risks, primarily changes in foreign currency exchange rates and interest rates.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current investment policy was drafted to: (i) preserve principal (capital); (ii) maintain liquidity in accordance with cash flow requirements; and (iii) maximize the rate of return within the stated guidelines in the policy. Accordingly, a majority of our cash and cash equivalents is held in deposits that bear interest. Given the current low rates of interest we receive, we will not be adversely affected if such rates are reduced. Our investment policy is monitored by the Company’s Audit Committee.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market risk exposure is primarily a result of foreign currency exchange rates, which is discussed in detail in the following paragraph.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Our results of operations and cash flow are subject to fluctuations due to changes in foreign currency exchange rates. The vast majority of our liquid assets is held in U.S. dollars, and a certain portion of our expenses is denominated in NIS. For instance, in 2015, approximately 20% of our expenses were denominated in NIS. Changes of 5% and 10% in the $/NIS exchange rate would have increased/decreased the operation expenses by 0.95% and 1.81%, respectively. However, these historical figures may not be indicative of future exposure, as we expect that the percentage of our NIS denominated expenses will decrease in the future, therefore further reducing our exposure to exchange rate fluctuations.</w:t>
      </w:r>
    </w:p>
    <w:p>
      <w:pPr>
        <w:spacing w:after="0" w:line="173"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6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does not have any outstanding American Depositary Shares or American Depositary Receipts.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TWO</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tab/>
        <w:t>DEFAULTS, DIVIDEND ARREARAGES AND DELINQUENCIES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tab/>
        <w:t>MATERIAL MODIFICATIONS TO THE RIGHTS OF SECURITY HOLDERS AND USE OF PROCEEDS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as of December 31, 2015, or the Evaluation Date. Based on such evaluation, those officers have concluded that, as of the Evaluation Date, our disclosure controls and procedures are effective in recording, processing, summarizing and reporting, on a timely basis, information required to be included in periodic filings under the Exchange Act and that such information is accumulated and communicated to management, including our principal executive and financial officers, as appropriate to allow timely decisions regarding required disclosure.</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91" w:right="279" w:bottom="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2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under the Exchange Act. Under the supervision and with the participation of our management, including our Chief Executive Officer and Chief Financial Officer, we conducted an evaluation of the effectiveness of our internal control over financial reporting based principally on the framework and criteria established in Internal Control - Integrated Framework (2013) issued by the Committee of Sponsoring Organizations of the Treadway Commission as of the end of the period covered by this report. Based on that evaluation, our management has concluded that our internal control over financial reporting was effective as of December 31, 2015 at providing reasonable assurance regarding the reliability of financial reporting and the preparation of financial statements for external purposes in accordance with generally accepted accounting principles.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due to an exemption for emerging growth companies provided in the JOBS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2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During the year ended December 31, 2015, there were no changes in our internal control over financial reporting that have materially affected, or are reasonably likely to materially affect, our internal control over financial reporting.</w:t>
      </w:r>
    </w:p>
    <w:p>
      <w:pPr>
        <w:spacing w:after="0" w:line="1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21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board of directors has determined that Mr. Mor, a member of our audit committee, is an audit committee financial expert, as defined under the rules under the Exchange Act, and is independent in accordance with applicable Exchange Act rules and Nasdaq rules.</w:t>
      </w:r>
    </w:p>
    <w:p>
      <w:pPr>
        <w:spacing w:after="0" w:line="1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216"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have adopted a written code of ethics that applies to our officers and employees, including our principal executive officer, principal financial officer, principal controller and persons performing similar functions as well as our directors. Our Code of Business Conduct and Ethics is posted on our website at www.alcobra-pharma.com.</w:t>
      </w:r>
    </w:p>
    <w:p>
      <w:pPr>
        <w:spacing w:after="0" w:line="16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21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Kost Forer Gabbay &amp; Kasierer (a Member of EY Global), has served as our principal independent registered public accounting firm for each of the two years ended December 31, 2015 and 2014.</w:t>
      </w:r>
    </w:p>
    <w:p>
      <w:pPr>
        <w:spacing w:after="0" w:line="17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provides information regarding fees paid by us to Kost Forer Gabbay &amp; Kasierer and/or other member firms of EY Global for all services, including audit services, for the years ended December 31, 2015 and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Year Ended</w:t>
            </w: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vMerge w:val="continue"/>
          </w:tcPr>
          <w:p>
            <w:pPr>
              <w:spacing w:after="0"/>
              <w:rPr>
                <w:sz w:val="22"/>
                <w:szCs w:val="22"/>
                <w:color w:val="auto"/>
              </w:rPr>
            </w:pPr>
          </w:p>
        </w:tc>
        <w:tc>
          <w:tcPr>
            <w:tcW w:w="44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4400" w:type="dxa"/>
            <w:vAlign w:val="bottom"/>
          </w:tcPr>
          <w:p>
            <w:pPr>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7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44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4"/>
                <w:szCs w:val="24"/>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00" w:type="dxa"/>
            <w:vAlign w:val="bottom"/>
            <w:vMerge w:val="restart"/>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00" w:type="dxa"/>
            <w:vAlign w:val="bottom"/>
            <w:vMerge w:val="continue"/>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ind w:right="616"/>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138</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0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720" w:hanging="452"/>
        <w:spacing w:after="0" w:line="228" w:lineRule="auto"/>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professional services rendered in connection with the audit of our annual financial statements and the review of our interim financial statements.</w:t>
      </w:r>
    </w:p>
    <w:p>
      <w:pPr>
        <w:ind w:left="460" w:hanging="452"/>
        <w:spacing w:after="0" w:line="219" w:lineRule="auto"/>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fees in connection with two public offerings in 2015.</w:t>
      </w:r>
    </w:p>
    <w:p>
      <w:pPr>
        <w:ind w:left="460" w:hanging="452"/>
        <w:spacing w:after="0"/>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professional fees related to tax returns, transfer pricing and consulting on state and sales tax in the United States and Israeli tax.</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Pre-Approval of Auditors' Compensation</w:t>
      </w:r>
    </w:p>
    <w:p>
      <w:pPr>
        <w:spacing w:after="0" w:line="225"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16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16"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The Sarbanes-Oxley Act, as well as related rules subsequently implemented by the SEC, require foreign private issuers, such as us, to comply with various corporate governance practices. In addition, we are required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5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accordance with Israeli law and practice and subject to the exemption set forth in Rule 5615 of the Listing Rules of the NASDAQ Stock Market, we have elected to follow the provisions of the Israeli Companies Law, rather than the Listing Rules of the NASDAQ Stock Market, with respect to the following requirements:</w:t>
      </w:r>
    </w:p>
    <w:p>
      <w:pPr>
        <w:spacing w:after="0" w:line="168" w:lineRule="exact"/>
        <w:rPr>
          <w:sz w:val="20"/>
          <w:szCs w:val="20"/>
          <w:color w:val="auto"/>
        </w:rPr>
      </w:pPr>
    </w:p>
    <w:p>
      <w:pPr>
        <w:ind w:left="920" w:right="140" w:hanging="453"/>
        <w:spacing w:after="0"/>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Distribution of periodic reports to shareholders; proxy solicitation. </w:t>
      </w:r>
      <w:r>
        <w:rPr>
          <w:rFonts w:ascii="Arial" w:cs="Arial" w:eastAsia="Arial" w:hAnsi="Arial"/>
          <w:sz w:val="17"/>
          <w:szCs w:val="17"/>
          <w:color w:val="auto"/>
        </w:rPr>
        <w:t>As opposed to the Listing Rules of the NASDAQ Stock Market,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listed issuers to 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currently make our audited financial statements available to our shareholders at our offices and will only mail such reports to shareholders upon request. As a foreign private issuer, we are generally exempt from the SEC's proxy solicitation rules.</w:t>
      </w:r>
    </w:p>
    <w:p>
      <w:pPr>
        <w:spacing w:after="0" w:line="177" w:lineRule="exact"/>
        <w:rPr>
          <w:rFonts w:ascii="Arial" w:cs="Arial" w:eastAsia="Arial" w:hAnsi="Arial"/>
          <w:sz w:val="17"/>
          <w:szCs w:val="17"/>
          <w:color w:val="auto"/>
        </w:rPr>
      </w:pPr>
    </w:p>
    <w:p>
      <w:pPr>
        <w:ind w:left="920" w:right="40" w:hanging="453"/>
        <w:spacing w:after="0" w:line="258" w:lineRule="auto"/>
        <w:tabs>
          <w:tab w:leader="none" w:pos="92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Nomination of our directors. </w:t>
      </w:r>
      <w:r>
        <w:rPr>
          <w:rFonts w:ascii="Arial" w:cs="Arial" w:eastAsia="Arial" w:hAnsi="Arial"/>
          <w:sz w:val="16"/>
          <w:szCs w:val="16"/>
          <w:color w:val="auto"/>
        </w:rPr>
        <w:t>With the exception of our external directors and directors elected by our Board of Directors due to vacancy, our</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are elected by an annual meeting of our shareholders to hold office until the next annual meeting following one year from his or her election. See Item 6.C. Board Practices “Board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or by a majority of independent directors, as required under the Listing Rules of the NASDAQ Stock Market.</w:t>
      </w:r>
    </w:p>
    <w:p>
      <w:pPr>
        <w:spacing w:after="0" w:line="163" w:lineRule="exact"/>
        <w:rPr>
          <w:rFonts w:ascii="Arial" w:cs="Arial" w:eastAsia="Arial" w:hAnsi="Arial"/>
          <w:sz w:val="16"/>
          <w:szCs w:val="16"/>
          <w:color w:val="auto"/>
        </w:rPr>
      </w:pPr>
    </w:p>
    <w:p>
      <w:pPr>
        <w:ind w:left="920" w:hanging="453"/>
        <w:spacing w:after="0" w:line="258" w:lineRule="auto"/>
        <w:tabs>
          <w:tab w:leader="none" w:pos="92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of officers. </w:t>
      </w:r>
      <w:r>
        <w:rPr>
          <w:rFonts w:ascii="Arial" w:cs="Arial" w:eastAsia="Arial" w:hAnsi="Arial"/>
          <w:sz w:val="16"/>
          <w:szCs w:val="16"/>
          <w:color w:val="auto"/>
        </w:rPr>
        <w:t>Israeli law and our amended and restated articles of association do not require that the independent members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(or a 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 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7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Shareholder approval is generally required for executive officer compensation in the event (i) approval by our Board of Directors and our Compensation Committee is not consistent with our office holders compensation policy, or (ii) compensation required to be approved is that of our chief executive officer who is not a director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otherwise have a personal interest in the compensation arrangement that are voted at the meeting, excluding for such purpose any abstentions disinterested majority, or (ii) the total shares held by non-controlling and disinterested shareholders voted against the arrangement does not exceed two percent (2%) of the voting rights in our company.</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ind w:firstLine="405"/>
        <w:spacing w:after="0" w:line="270" w:lineRule="auto"/>
        <w:rPr>
          <w:sz w:val="20"/>
          <w:szCs w:val="20"/>
          <w:color w:val="auto"/>
        </w:rPr>
      </w:pPr>
      <w:r>
        <w:rPr>
          <w:rFonts w:ascii="Arial" w:cs="Arial" w:eastAsia="Arial" w:hAnsi="Arial"/>
          <w:sz w:val="17"/>
          <w:szCs w:val="17"/>
          <w:color w:val="auto"/>
        </w:rPr>
        <w:t>Additionally, approval of the compensation of an executive officer, who is also a director, shall generally require a simple majority vote of the shares present and voting at a shareholders meeting, if consistent with our office holders compensation policy. Our Compensation Committee and Board of Directors may, in special circumstances, approve the compensation of an executive officer (other than a director, a chief executive officer or a controlling shareholder) or approve the compensation policy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182"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A director or executive officer may not be present when the board of directors of a company discusses or votes upon the terms of his or her compensation, unless the chairman of the board of directors determines that he or she should be present to present the transaction that is subject to approval.</w:t>
      </w:r>
    </w:p>
    <w:p>
      <w:pPr>
        <w:spacing w:after="0" w:line="110" w:lineRule="exact"/>
        <w:rPr>
          <w:sz w:val="20"/>
          <w:szCs w:val="20"/>
          <w:color w:val="auto"/>
        </w:rPr>
      </w:pPr>
    </w:p>
    <w:p>
      <w:pPr>
        <w:ind w:left="920" w:hanging="453"/>
        <w:spacing w:after="0" w:line="238" w:lineRule="auto"/>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Independent directors. </w:t>
      </w:r>
      <w:r>
        <w:rPr>
          <w:rFonts w:ascii="Arial" w:cs="Arial" w:eastAsia="Arial" w:hAnsi="Arial"/>
          <w:sz w:val="17"/>
          <w:szCs w:val="17"/>
          <w:color w:val="auto"/>
        </w:rPr>
        <w:t>Israeli law does not require that a majority of the directors serving on our Board of Directors be “independent,” as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NASDAQ Listing Rule 5605(a)(2), and rather requires we have at least two external directors who meet the requirements of the Israeli Companies Law, as described above under Item 6.C. Board Practices “External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177" w:lineRule="exact"/>
        <w:rPr>
          <w:rFonts w:ascii="Arial" w:cs="Arial" w:eastAsia="Arial" w:hAnsi="Arial"/>
          <w:sz w:val="17"/>
          <w:szCs w:val="17"/>
          <w:color w:val="auto"/>
        </w:rPr>
      </w:pPr>
    </w:p>
    <w:p>
      <w:pPr>
        <w:ind w:left="920" w:hanging="453"/>
        <w:spacing w:after="0" w:line="250" w:lineRule="auto"/>
        <w:tabs>
          <w:tab w:leader="none" w:pos="92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We will seek shareholder approval for all corporate actions requiring such approval under the requirements of the Israeli</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Companies Law, 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In addition, under the Israeli Companies Law, a merger requires approval of the shareholders of each of the merging companies.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 controlling shareholder and approval of transactions</w:t>
      </w:r>
    </w:p>
    <w:p>
      <w:pPr>
        <w:spacing w:after="0" w:line="225"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The Israeli Companies Law also requires that a controlling shareholder promptly disclose to the company any personal interest that he or she may have and all related material information or documents relating to any existing or proposed transaction by the company. A controlling shareholder’s disclosure must be made promptly and in any event no later than the first meeting of the board of directors at which the transaction is considered. Extraordinary transactions with a controlling shareholder or in which a controlling shareholder has a personal interest, including a private placement in which a controlling shareholder has a personal interest, and the terms of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of the company, regarding his or her terms of employment, require the approval of each of (i) the audit committee or the compensation committee with respect to the terms of the engagement of the company, (ii) the board of directors and (iii) the shareholders, in that order. In addition, the shareholder approval must fulfill one of the following requirements:</w:t>
      </w:r>
    </w:p>
    <w:p>
      <w:pPr>
        <w:spacing w:after="0" w:line="153" w:lineRule="exact"/>
        <w:rPr>
          <w:sz w:val="20"/>
          <w:szCs w:val="20"/>
          <w:color w:val="auto"/>
        </w:rPr>
      </w:pPr>
    </w:p>
    <w:p>
      <w:pPr>
        <w:ind w:left="920" w:right="400" w:hanging="453"/>
        <w:spacing w:after="0" w:line="246"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majority of the shares held by shareholders who have no personal interest in the transaction and are voting at the meeting must be voted in favor of approving the transaction, excluding abstentions; or</w:t>
      </w:r>
    </w:p>
    <w:p>
      <w:pPr>
        <w:spacing w:after="0" w:line="169" w:lineRule="exact"/>
        <w:rPr>
          <w:rFonts w:ascii="Arial" w:cs="Arial" w:eastAsia="Arial" w:hAnsi="Arial"/>
          <w:sz w:val="18"/>
          <w:szCs w:val="18"/>
          <w:color w:val="auto"/>
        </w:rPr>
      </w:pPr>
    </w:p>
    <w:p>
      <w:pPr>
        <w:ind w:left="920" w:right="180" w:hanging="453"/>
        <w:spacing w:after="0" w:line="246"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shares voted by shareholders who have no personal interest in the transaction who vote against the transaction represent no more than 2.0% of the voting rights in the company.</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8" w:name="page79"/>
    <w:bookmarkEnd w:id="78"/>
    <w:p>
      <w:pPr>
        <w:ind w:right="200" w:firstLine="405"/>
        <w:spacing w:after="0" w:line="312" w:lineRule="auto"/>
        <w:rPr>
          <w:sz w:val="20"/>
          <w:szCs w:val="20"/>
          <w:color w:val="auto"/>
        </w:rPr>
      </w:pPr>
      <w:r>
        <w:rPr>
          <w:rFonts w:ascii="Arial" w:cs="Arial" w:eastAsia="Arial" w:hAnsi="Arial"/>
          <w:sz w:val="16"/>
          <w:szCs w:val="16"/>
          <w:color w:val="auto"/>
        </w:rPr>
        <w:t>In addition, any extraordinary transaction with a controlling shareholder or in which a controlling shareholder has a personal interest with a term of more than three years requires the abovementioned approval every three years, however, such transactions not involving the receipt of services or compensation can be approved for a longer term, provided that the audit committee determines that such longer term is reasonable under the circumstances.</w:t>
      </w:r>
    </w:p>
    <w:p>
      <w:pPr>
        <w:spacing w:after="0" w:line="147"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The Israeli Companies Law requires that every shareholder that participates, in person, by proxy or by voting instrument, in a vote regarding a transaction with a controlling shareholder, must indicate in advance or in the ballot whether or not that shareholder has a personal interest in the vote in question. Failure to so indicate will result in the invalidation of that shareholder’s vote.</w:t>
      </w:r>
    </w:p>
    <w:p>
      <w:pPr>
        <w:spacing w:after="0" w:line="16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THREE</w:t>
      </w:r>
    </w:p>
    <w:p>
      <w:pPr>
        <w:spacing w:after="0" w:line="21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1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consolidated financial statements, and the related notes thereto, and the Reports of Independent Public Accountants are filed as a part of this annual report.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820" w:type="dxa"/>
            <w:vAlign w:val="bottom"/>
            <w:gridSpan w:val="11"/>
            <w:shd w:val="clear" w:color="auto" w:fill="CCEEFF"/>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Report of Independent Registered Public Accounting Firm</w:t>
              </w:r>
            </w:hyperlink>
          </w:p>
        </w:tc>
        <w:tc>
          <w:tcPr>
            <w:tcW w:w="258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60" w:type="dxa"/>
            <w:vAlign w:val="bottom"/>
            <w:tcBorders>
              <w:top w:val="single" w:sz="8" w:color="0000EE"/>
            </w:tcBorders>
            <w:gridSpan w:val="2"/>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400" w:type="dxa"/>
            <w:vAlign w:val="bottom"/>
            <w:tcBorders>
              <w:top w:val="single" w:sz="8" w:color="CCEEFF"/>
            </w:tcBorders>
          </w:tcPr>
          <w:p>
            <w:pPr>
              <w:spacing w:after="0"/>
              <w:rPr>
                <w:sz w:val="16"/>
                <w:szCs w:val="16"/>
                <w:color w:val="auto"/>
              </w:rPr>
            </w:pPr>
          </w:p>
        </w:tc>
        <w:tc>
          <w:tcPr>
            <w:tcW w:w="2420" w:type="dxa"/>
            <w:vAlign w:val="bottom"/>
            <w:tcBorders>
              <w:top w:val="single" w:sz="8" w:color="CCEEFF"/>
            </w:tcBorders>
          </w:tcPr>
          <w:p>
            <w:pPr>
              <w:spacing w:after="0"/>
              <w:rPr>
                <w:sz w:val="16"/>
                <w:szCs w:val="16"/>
                <w:color w:val="auto"/>
              </w:rPr>
            </w:pPr>
          </w:p>
        </w:tc>
        <w:tc>
          <w:tcPr>
            <w:tcW w:w="25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11"/>
            <w:shd w:val="clear" w:color="auto" w:fill="CCEEFF"/>
          </w:tcPr>
          <w:p>
            <w:pPr>
              <w:spacing w:after="0" w:line="162"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Balance Sheets</w:t>
              </w:r>
            </w:hyperlink>
          </w:p>
        </w:tc>
        <w:tc>
          <w:tcPr>
            <w:tcW w:w="2580" w:type="dxa"/>
            <w:vAlign w:val="bottom"/>
            <w:shd w:val="clear" w:color="auto" w:fill="CCEEFF"/>
          </w:tcPr>
          <w:p>
            <w:pPr>
              <w:jc w:val="center"/>
              <w:ind w:left="1350"/>
              <w:spacing w:after="0" w:line="162"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60" w:type="dxa"/>
            <w:vAlign w:val="bottom"/>
            <w:tcBorders>
              <w:top w:val="single" w:sz="8" w:color="0000EE"/>
            </w:tcBorders>
            <w:gridSpan w:val="2"/>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400" w:type="dxa"/>
            <w:vAlign w:val="bottom"/>
            <w:tcBorders>
              <w:top w:val="single" w:sz="8" w:color="CCEEFF"/>
            </w:tcBorders>
          </w:tcPr>
          <w:p>
            <w:pPr>
              <w:spacing w:after="0"/>
              <w:rPr>
                <w:sz w:val="16"/>
                <w:szCs w:val="16"/>
                <w:color w:val="auto"/>
              </w:rPr>
            </w:pPr>
          </w:p>
        </w:tc>
        <w:tc>
          <w:tcPr>
            <w:tcW w:w="2420" w:type="dxa"/>
            <w:vAlign w:val="bottom"/>
            <w:tcBorders>
              <w:top w:val="single" w:sz="8" w:color="CCEEFF"/>
            </w:tcBorders>
          </w:tcPr>
          <w:p>
            <w:pPr>
              <w:spacing w:after="0"/>
              <w:rPr>
                <w:sz w:val="16"/>
                <w:szCs w:val="16"/>
                <w:color w:val="auto"/>
              </w:rPr>
            </w:pPr>
          </w:p>
        </w:tc>
        <w:tc>
          <w:tcPr>
            <w:tcW w:w="25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11"/>
            <w:shd w:val="clear" w:color="auto" w:fill="CCEEFF"/>
          </w:tcPr>
          <w:p>
            <w:pPr>
              <w:spacing w:after="0" w:line="162"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Operations</w:t>
              </w:r>
            </w:hyperlink>
          </w:p>
        </w:tc>
        <w:tc>
          <w:tcPr>
            <w:tcW w:w="2580" w:type="dxa"/>
            <w:vAlign w:val="bottom"/>
            <w:shd w:val="clear" w:color="auto" w:fill="CCEEFF"/>
          </w:tcPr>
          <w:p>
            <w:pPr>
              <w:jc w:val="center"/>
              <w:ind w:left="1350"/>
              <w:spacing w:after="0" w:line="162"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60" w:type="dxa"/>
            <w:vAlign w:val="bottom"/>
            <w:tcBorders>
              <w:top w:val="single" w:sz="8" w:color="0000EE"/>
            </w:tcBorders>
            <w:gridSpan w:val="2"/>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400" w:type="dxa"/>
            <w:vAlign w:val="bottom"/>
            <w:tcBorders>
              <w:top w:val="single" w:sz="8" w:color="CCEEFF"/>
            </w:tcBorders>
          </w:tcPr>
          <w:p>
            <w:pPr>
              <w:spacing w:after="0"/>
              <w:rPr>
                <w:sz w:val="16"/>
                <w:szCs w:val="16"/>
                <w:color w:val="auto"/>
              </w:rPr>
            </w:pPr>
          </w:p>
        </w:tc>
        <w:tc>
          <w:tcPr>
            <w:tcW w:w="2420" w:type="dxa"/>
            <w:vAlign w:val="bottom"/>
            <w:tcBorders>
              <w:top w:val="single" w:sz="8" w:color="CCEEFF"/>
            </w:tcBorders>
          </w:tcPr>
          <w:p>
            <w:pPr>
              <w:spacing w:after="0"/>
              <w:rPr>
                <w:sz w:val="16"/>
                <w:szCs w:val="16"/>
                <w:color w:val="auto"/>
              </w:rPr>
            </w:pPr>
          </w:p>
        </w:tc>
        <w:tc>
          <w:tcPr>
            <w:tcW w:w="25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11"/>
            <w:shd w:val="clear" w:color="auto" w:fill="CCEEFF"/>
          </w:tcPr>
          <w:p>
            <w:pPr>
              <w:spacing w:after="0" w:line="162" w:lineRule="exact"/>
              <w:rPr>
                <w:rFonts w:ascii="Arial" w:cs="Arial" w:eastAsia="Arial" w:hAnsi="Arial"/>
                <w:sz w:val="18"/>
                <w:szCs w:val="18"/>
                <w:color w:val="0000EE"/>
              </w:rPr>
            </w:pPr>
            <w:hyperlink w:anchor="page85">
              <w:r>
                <w:rPr>
                  <w:rFonts w:ascii="Arial" w:cs="Arial" w:eastAsia="Arial" w:hAnsi="Arial"/>
                  <w:sz w:val="18"/>
                  <w:szCs w:val="18"/>
                  <w:color w:val="0000EE"/>
                </w:rPr>
                <w:t>Consolidated Statements of Changes in Shareholders' Equity</w:t>
              </w:r>
            </w:hyperlink>
          </w:p>
        </w:tc>
        <w:tc>
          <w:tcPr>
            <w:tcW w:w="2580" w:type="dxa"/>
            <w:vAlign w:val="bottom"/>
            <w:shd w:val="clear" w:color="auto" w:fill="CCEEFF"/>
          </w:tcPr>
          <w:p>
            <w:pPr>
              <w:jc w:val="center"/>
              <w:ind w:left="1350"/>
              <w:spacing w:after="0" w:line="162"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60" w:type="dxa"/>
            <w:vAlign w:val="bottom"/>
            <w:tcBorders>
              <w:top w:val="single" w:sz="8" w:color="0000EE"/>
            </w:tcBorders>
            <w:gridSpan w:val="2"/>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400" w:type="dxa"/>
            <w:vAlign w:val="bottom"/>
            <w:tcBorders>
              <w:top w:val="single" w:sz="8" w:color="CCEEFF"/>
            </w:tcBorders>
          </w:tcPr>
          <w:p>
            <w:pPr>
              <w:spacing w:after="0"/>
              <w:rPr>
                <w:sz w:val="16"/>
                <w:szCs w:val="16"/>
                <w:color w:val="auto"/>
              </w:rPr>
            </w:pPr>
          </w:p>
        </w:tc>
        <w:tc>
          <w:tcPr>
            <w:tcW w:w="2420" w:type="dxa"/>
            <w:vAlign w:val="bottom"/>
            <w:tcBorders>
              <w:top w:val="single" w:sz="8" w:color="CCEEFF"/>
            </w:tcBorders>
          </w:tcPr>
          <w:p>
            <w:pPr>
              <w:spacing w:after="0"/>
              <w:rPr>
                <w:sz w:val="16"/>
                <w:szCs w:val="16"/>
                <w:color w:val="auto"/>
              </w:rPr>
            </w:pPr>
          </w:p>
        </w:tc>
        <w:tc>
          <w:tcPr>
            <w:tcW w:w="25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gridSpan w:val="11"/>
            <w:shd w:val="clear" w:color="auto" w:fill="CCEEFF"/>
          </w:tcPr>
          <w:p>
            <w:pPr>
              <w:spacing w:after="0" w:line="162" w:lineRule="exact"/>
              <w:rPr>
                <w:rFonts w:ascii="Arial" w:cs="Arial" w:eastAsia="Arial" w:hAnsi="Arial"/>
                <w:sz w:val="18"/>
                <w:szCs w:val="18"/>
                <w:color w:val="0000EE"/>
              </w:rPr>
            </w:pPr>
            <w:hyperlink w:anchor="page86">
              <w:r>
                <w:rPr>
                  <w:rFonts w:ascii="Arial" w:cs="Arial" w:eastAsia="Arial" w:hAnsi="Arial"/>
                  <w:sz w:val="18"/>
                  <w:szCs w:val="18"/>
                  <w:color w:val="0000EE"/>
                </w:rPr>
                <w:t>Consolidated Statements of Cash Flows</w:t>
              </w:r>
            </w:hyperlink>
          </w:p>
        </w:tc>
        <w:tc>
          <w:tcPr>
            <w:tcW w:w="2580" w:type="dxa"/>
            <w:vAlign w:val="bottom"/>
            <w:shd w:val="clear" w:color="auto" w:fill="CCEEFF"/>
          </w:tcPr>
          <w:p>
            <w:pPr>
              <w:jc w:val="center"/>
              <w:ind w:left="1350"/>
              <w:spacing w:after="0" w:line="162"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60" w:type="dxa"/>
            <w:vAlign w:val="bottom"/>
            <w:tcBorders>
              <w:top w:val="single" w:sz="8" w:color="0000EE"/>
            </w:tcBorders>
            <w:gridSpan w:val="2"/>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400" w:type="dxa"/>
            <w:vAlign w:val="bottom"/>
            <w:tcBorders>
              <w:top w:val="single" w:sz="8" w:color="CCEEFF"/>
            </w:tcBorders>
          </w:tcPr>
          <w:p>
            <w:pPr>
              <w:spacing w:after="0"/>
              <w:rPr>
                <w:sz w:val="16"/>
                <w:szCs w:val="16"/>
                <w:color w:val="auto"/>
              </w:rPr>
            </w:pPr>
          </w:p>
        </w:tc>
        <w:tc>
          <w:tcPr>
            <w:tcW w:w="2420" w:type="dxa"/>
            <w:vAlign w:val="bottom"/>
            <w:tcBorders>
              <w:top w:val="single" w:sz="8" w:color="CCEEFF"/>
            </w:tcBorders>
          </w:tcPr>
          <w:p>
            <w:pPr>
              <w:spacing w:after="0"/>
              <w:rPr>
                <w:sz w:val="16"/>
                <w:szCs w:val="16"/>
                <w:color w:val="auto"/>
              </w:rPr>
            </w:pPr>
          </w:p>
        </w:tc>
        <w:tc>
          <w:tcPr>
            <w:tcW w:w="25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140" w:type="dxa"/>
            <w:vAlign w:val="bottom"/>
            <w:tcBorders>
              <w:bottom w:val="single" w:sz="8" w:color="0000EE"/>
            </w:tcBorders>
            <w:gridSpan w:val="6"/>
            <w:shd w:val="clear" w:color="auto" w:fill="CCEEFF"/>
          </w:tcPr>
          <w:p>
            <w:pPr>
              <w:spacing w:after="0" w:line="162"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Notes to Consolidated Financial Statements</w:t>
              </w:r>
            </w:hyperlink>
          </w:p>
        </w:tc>
        <w:tc>
          <w:tcPr>
            <w:tcW w:w="5680" w:type="dxa"/>
            <w:vAlign w:val="bottom"/>
            <w:tcBorders>
              <w:bottom w:val="single" w:sz="8" w:color="CCEEFF"/>
            </w:tcBorders>
            <w:gridSpan w:val="5"/>
            <w:shd w:val="clear" w:color="auto" w:fill="CCEEFF"/>
          </w:tcPr>
          <w:p>
            <w:pPr>
              <w:spacing w:after="0"/>
              <w:rPr>
                <w:sz w:val="14"/>
                <w:szCs w:val="14"/>
                <w:color w:val="auto"/>
              </w:rPr>
            </w:pPr>
          </w:p>
        </w:tc>
        <w:tc>
          <w:tcPr>
            <w:tcW w:w="2580" w:type="dxa"/>
            <w:vAlign w:val="bottom"/>
            <w:tcBorders>
              <w:bottom w:val="single" w:sz="8" w:color="CCEEFF"/>
            </w:tcBorders>
            <w:shd w:val="clear" w:color="auto" w:fill="CCEEFF"/>
          </w:tcPr>
          <w:p>
            <w:pPr>
              <w:jc w:val="center"/>
              <w:ind w:left="1350"/>
              <w:spacing w:after="0" w:line="162" w:lineRule="exact"/>
              <w:rPr>
                <w:sz w:val="20"/>
                <w:szCs w:val="20"/>
                <w:color w:val="auto"/>
              </w:rPr>
            </w:pPr>
            <w:r>
              <w:rPr>
                <w:rFonts w:ascii="Arial" w:cs="Arial" w:eastAsia="Arial" w:hAnsi="Arial"/>
                <w:sz w:val="18"/>
                <w:szCs w:val="18"/>
                <w:color w:val="auto"/>
                <w:w w:val="92"/>
              </w:rPr>
              <w:t>F-7 - F-23</w:t>
            </w:r>
          </w:p>
        </w:tc>
        <w:tc>
          <w:tcPr>
            <w:tcW w:w="0" w:type="dxa"/>
            <w:vAlign w:val="bottom"/>
          </w:tcPr>
          <w:p>
            <w:pPr>
              <w:spacing w:after="0"/>
              <w:rPr>
                <w:sz w:val="1"/>
                <w:szCs w:val="1"/>
                <w:color w:val="auto"/>
              </w:rPr>
            </w:pPr>
          </w:p>
        </w:tc>
      </w:tr>
      <w:tr>
        <w:trPr>
          <w:trHeight w:val="41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7680" w:type="dxa"/>
            <w:vAlign w:val="bottom"/>
            <w:gridSpan w:val="10"/>
          </w:tcPr>
          <w:p>
            <w:pPr>
              <w:ind w:left="100"/>
              <w:spacing w:after="0"/>
              <w:rPr>
                <w:sz w:val="20"/>
                <w:szCs w:val="20"/>
                <w:color w:val="auto"/>
              </w:rPr>
            </w:pPr>
            <w:r>
              <w:rPr>
                <w:rFonts w:ascii="Arial" w:cs="Arial" w:eastAsia="Arial" w:hAnsi="Arial"/>
                <w:sz w:val="18"/>
                <w:szCs w:val="18"/>
                <w:b w:val="1"/>
                <w:bCs w:val="1"/>
                <w:color w:val="auto"/>
              </w:rPr>
              <w:t>EXHIBITS</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7460" w:type="dxa"/>
            <w:vAlign w:val="bottom"/>
            <w:gridSpan w:val="9"/>
          </w:tcPr>
          <w:p>
            <w:pPr>
              <w:spacing w:after="0"/>
              <w:rPr>
                <w:sz w:val="20"/>
                <w:szCs w:val="20"/>
                <w:color w:val="auto"/>
              </w:rPr>
            </w:pPr>
            <w:r>
              <w:rPr>
                <w:rFonts w:ascii="Arial" w:cs="Arial" w:eastAsia="Arial" w:hAnsi="Arial"/>
                <w:sz w:val="18"/>
                <w:szCs w:val="18"/>
                <w:b w:val="1"/>
                <w:bCs w:val="1"/>
                <w:color w:val="auto"/>
              </w:rPr>
              <w:t>DESCRIPTION OF DOCUMENT</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4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1.1</w:t>
            </w:r>
          </w:p>
        </w:tc>
        <w:tc>
          <w:tcPr>
            <w:tcW w:w="220" w:type="dxa"/>
            <w:vAlign w:val="bottom"/>
          </w:tcPr>
          <w:p>
            <w:pPr>
              <w:spacing w:after="0"/>
              <w:rPr>
                <w:sz w:val="13"/>
                <w:szCs w:val="13"/>
                <w:color w:val="auto"/>
              </w:rPr>
            </w:pPr>
          </w:p>
        </w:tc>
        <w:tc>
          <w:tcPr>
            <w:tcW w:w="10040" w:type="dxa"/>
            <w:vAlign w:val="bottom"/>
            <w:tcBorders>
              <w:top w:val="single" w:sz="8" w:color="auto"/>
            </w:tcBorders>
            <w:gridSpan w:val="10"/>
          </w:tcPr>
          <w:p>
            <w:pPr>
              <w:spacing w:after="0" w:line="154" w:lineRule="exact"/>
              <w:rPr>
                <w:sz w:val="20"/>
                <w:szCs w:val="20"/>
                <w:color w:val="auto"/>
              </w:rPr>
            </w:pPr>
            <w:r>
              <w:rPr>
                <w:rFonts w:ascii="Arial" w:cs="Arial" w:eastAsia="Arial" w:hAnsi="Arial"/>
                <w:sz w:val="17"/>
                <w:szCs w:val="17"/>
                <w:color w:val="auto"/>
              </w:rPr>
              <w:t>Articles of Association of the Company, filed as Exhibit 3.2 to Form F-1/A filed on March 19, 2013 (File No. 333-186003)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60" w:type="dxa"/>
            <w:vAlign w:val="bottom"/>
            <w:gridSpan w:val="9"/>
          </w:tcPr>
          <w:p>
            <w:pPr>
              <w:spacing w:after="0"/>
              <w:rPr>
                <w:sz w:val="20"/>
                <w:szCs w:val="20"/>
                <w:color w:val="auto"/>
              </w:rPr>
            </w:pPr>
            <w:r>
              <w:rPr>
                <w:rFonts w:ascii="Arial" w:cs="Arial" w:eastAsia="Arial" w:hAnsi="Arial"/>
                <w:sz w:val="18"/>
                <w:szCs w:val="18"/>
                <w:color w:val="auto"/>
              </w:rPr>
              <w:t>incorporated herein by reference</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160" w:type="dxa"/>
            <w:vAlign w:val="bottom"/>
            <w:gridSpan w:val="2"/>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040" w:type="dxa"/>
            <w:vAlign w:val="bottom"/>
            <w:gridSpan w:val="10"/>
          </w:tcPr>
          <w:p>
            <w:pPr>
              <w:spacing w:after="0"/>
              <w:rPr>
                <w:sz w:val="20"/>
                <w:szCs w:val="20"/>
                <w:color w:val="auto"/>
              </w:rPr>
            </w:pPr>
            <w:r>
              <w:rPr>
                <w:rFonts w:ascii="Arial" w:cs="Arial" w:eastAsia="Arial" w:hAnsi="Arial"/>
                <w:sz w:val="18"/>
                <w:szCs w:val="18"/>
                <w:color w:val="auto"/>
                <w:w w:val="97"/>
              </w:rPr>
              <w:t>Form of Representative’s Warrant Agreement, filed as Exhibit 4.2 to Form F-1/A filed on April 25, 2013 (File No. 333-186003)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60" w:type="dxa"/>
            <w:vAlign w:val="bottom"/>
            <w:gridSpan w:val="9"/>
          </w:tcPr>
          <w:p>
            <w:pPr>
              <w:spacing w:after="0"/>
              <w:rPr>
                <w:sz w:val="20"/>
                <w:szCs w:val="20"/>
                <w:color w:val="auto"/>
              </w:rPr>
            </w:pPr>
            <w:r>
              <w:rPr>
                <w:rFonts w:ascii="Arial" w:cs="Arial" w:eastAsia="Arial" w:hAnsi="Arial"/>
                <w:sz w:val="18"/>
                <w:szCs w:val="18"/>
                <w:color w:val="auto"/>
              </w:rPr>
              <w:t>incorporated herein by reference</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160" w:type="dxa"/>
            <w:vAlign w:val="bottom"/>
            <w:gridSpan w:val="2"/>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040" w:type="dxa"/>
            <w:vAlign w:val="bottom"/>
            <w:gridSpan w:val="10"/>
          </w:tcPr>
          <w:p>
            <w:pPr>
              <w:spacing w:after="0"/>
              <w:rPr>
                <w:sz w:val="20"/>
                <w:szCs w:val="20"/>
                <w:color w:val="auto"/>
              </w:rPr>
            </w:pPr>
            <w:r>
              <w:rPr>
                <w:rFonts w:ascii="Arial" w:cs="Arial" w:eastAsia="Arial" w:hAnsi="Arial"/>
                <w:sz w:val="18"/>
                <w:szCs w:val="18"/>
                <w:color w:val="auto"/>
                <w:w w:val="92"/>
              </w:rPr>
              <w:t>Consulting Agreement between the Company and Adler Consulting LLC, dated November 2010, filed as Exhibit 10.1 to Form F-1/A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60" w:type="dxa"/>
            <w:vAlign w:val="bottom"/>
            <w:gridSpan w:val="9"/>
          </w:tcPr>
          <w:p>
            <w:pPr>
              <w:spacing w:after="0"/>
              <w:rPr>
                <w:sz w:val="20"/>
                <w:szCs w:val="20"/>
                <w:color w:val="auto"/>
              </w:rPr>
            </w:pPr>
            <w:r>
              <w:rPr>
                <w:rFonts w:ascii="Arial" w:cs="Arial" w:eastAsia="Arial" w:hAnsi="Arial"/>
                <w:sz w:val="18"/>
                <w:szCs w:val="18"/>
                <w:color w:val="auto"/>
              </w:rPr>
              <w:t>on January 14, 2013 (File No. 333-186003) and incorporated herein by reference</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gridSpan w:val="2"/>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7460" w:type="dxa"/>
            <w:vAlign w:val="bottom"/>
            <w:gridSpan w:val="9"/>
          </w:tcPr>
          <w:p>
            <w:pPr>
              <w:spacing w:after="0"/>
              <w:rPr>
                <w:sz w:val="20"/>
                <w:szCs w:val="20"/>
                <w:color w:val="auto"/>
              </w:rPr>
            </w:pPr>
            <w:r>
              <w:rPr>
                <w:rFonts w:ascii="Arial" w:cs="Arial" w:eastAsia="Arial" w:hAnsi="Arial"/>
                <w:sz w:val="18"/>
                <w:szCs w:val="18"/>
                <w:color w:val="auto"/>
              </w:rPr>
              <w:t>Alcobra Ltd. 2010 Incentive Option Plan, as amended</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160" w:type="dxa"/>
            <w:vAlign w:val="bottom"/>
            <w:gridSpan w:val="2"/>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10040" w:type="dxa"/>
            <w:vAlign w:val="bottom"/>
            <w:gridSpan w:val="10"/>
          </w:tcPr>
          <w:p>
            <w:pPr>
              <w:spacing w:after="0"/>
              <w:rPr>
                <w:sz w:val="20"/>
                <w:szCs w:val="20"/>
                <w:color w:val="auto"/>
              </w:rPr>
            </w:pPr>
            <w:r>
              <w:rPr>
                <w:rFonts w:ascii="Arial" w:cs="Arial" w:eastAsia="Arial" w:hAnsi="Arial"/>
                <w:sz w:val="18"/>
                <w:szCs w:val="18"/>
                <w:color w:val="auto"/>
              </w:rPr>
              <w:t>Form of Indemnification Agreement, filed as Exhibit 10.4 to Form F-1/A filed on February 19, 2013 (File No. 333-186003)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60" w:type="dxa"/>
            <w:vAlign w:val="bottom"/>
            <w:gridSpan w:val="9"/>
          </w:tcPr>
          <w:p>
            <w:pPr>
              <w:spacing w:after="0"/>
              <w:rPr>
                <w:sz w:val="20"/>
                <w:szCs w:val="20"/>
                <w:color w:val="auto"/>
              </w:rPr>
            </w:pPr>
            <w:r>
              <w:rPr>
                <w:rFonts w:ascii="Arial" w:cs="Arial" w:eastAsia="Arial" w:hAnsi="Arial"/>
                <w:sz w:val="18"/>
                <w:szCs w:val="18"/>
                <w:color w:val="auto"/>
              </w:rPr>
              <w:t>incorporated herein by reference</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160" w:type="dxa"/>
            <w:vAlign w:val="bottom"/>
            <w:gridSpan w:val="2"/>
          </w:tcPr>
          <w:p>
            <w:pP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10040" w:type="dxa"/>
            <w:vAlign w:val="bottom"/>
            <w:gridSpan w:val="10"/>
          </w:tcPr>
          <w:p>
            <w:pPr>
              <w:spacing w:after="0"/>
              <w:rPr>
                <w:sz w:val="20"/>
                <w:szCs w:val="20"/>
                <w:color w:val="auto"/>
              </w:rPr>
            </w:pPr>
            <w:r>
              <w:rPr>
                <w:rFonts w:ascii="Arial" w:cs="Arial" w:eastAsia="Arial" w:hAnsi="Arial"/>
                <w:sz w:val="18"/>
                <w:szCs w:val="18"/>
                <w:color w:val="auto"/>
                <w:w w:val="98"/>
              </w:rPr>
              <w:t>Letter of Approval from the Office of Chief Scientist, filed as Exhibit 10.8 to Form F-1/A filed on February 19, 2013 (File No. 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60" w:type="dxa"/>
            <w:vAlign w:val="bottom"/>
            <w:gridSpan w:val="9"/>
          </w:tcPr>
          <w:p>
            <w:pPr>
              <w:spacing w:after="0"/>
              <w:rPr>
                <w:sz w:val="20"/>
                <w:szCs w:val="20"/>
                <w:color w:val="auto"/>
              </w:rPr>
            </w:pPr>
            <w:r>
              <w:rPr>
                <w:rFonts w:ascii="Arial" w:cs="Arial" w:eastAsia="Arial" w:hAnsi="Arial"/>
                <w:sz w:val="18"/>
                <w:szCs w:val="18"/>
                <w:color w:val="auto"/>
              </w:rPr>
              <w:t>186003) and incorporated herein by reference</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160" w:type="dxa"/>
            <w:vAlign w:val="bottom"/>
            <w:gridSpan w:val="2"/>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10040" w:type="dxa"/>
            <w:vAlign w:val="bottom"/>
            <w:gridSpan w:val="10"/>
          </w:tcPr>
          <w:p>
            <w:pPr>
              <w:spacing w:after="0"/>
              <w:rPr>
                <w:sz w:val="20"/>
                <w:szCs w:val="20"/>
                <w:color w:val="auto"/>
              </w:rPr>
            </w:pPr>
            <w:r>
              <w:rPr>
                <w:rFonts w:ascii="Arial" w:cs="Arial" w:eastAsia="Arial" w:hAnsi="Arial"/>
                <w:sz w:val="18"/>
                <w:szCs w:val="18"/>
                <w:color w:val="auto"/>
                <w:w w:val="91"/>
              </w:rPr>
              <w:t>Employment agreement between the Company and Yaron Daniely, dated March 4, 2010, filed as Exhibit 10.9 to Form F-1/A filed on April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60" w:type="dxa"/>
            <w:vAlign w:val="bottom"/>
            <w:gridSpan w:val="9"/>
          </w:tcPr>
          <w:p>
            <w:pPr>
              <w:spacing w:after="0"/>
              <w:rPr>
                <w:sz w:val="20"/>
                <w:szCs w:val="20"/>
                <w:color w:val="auto"/>
              </w:rPr>
            </w:pPr>
            <w:r>
              <w:rPr>
                <w:rFonts w:ascii="Arial" w:cs="Arial" w:eastAsia="Arial" w:hAnsi="Arial"/>
                <w:sz w:val="18"/>
                <w:szCs w:val="18"/>
                <w:color w:val="auto"/>
              </w:rPr>
              <w:t>25, 2013 (File No. 333-186003) and incorporated herein by reference</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160" w:type="dxa"/>
            <w:vAlign w:val="bottom"/>
            <w:gridSpan w:val="2"/>
          </w:tcPr>
          <w:p>
            <w:pP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10040" w:type="dxa"/>
            <w:vAlign w:val="bottom"/>
            <w:gridSpan w:val="10"/>
          </w:tcPr>
          <w:p>
            <w:pPr>
              <w:spacing w:after="0"/>
              <w:rPr>
                <w:sz w:val="20"/>
                <w:szCs w:val="20"/>
                <w:color w:val="auto"/>
              </w:rPr>
            </w:pPr>
            <w:r>
              <w:rPr>
                <w:rFonts w:ascii="Arial" w:cs="Arial" w:eastAsia="Arial" w:hAnsi="Arial"/>
                <w:sz w:val="18"/>
                <w:szCs w:val="18"/>
                <w:color w:val="auto"/>
                <w:w w:val="94"/>
              </w:rPr>
              <w:t>Employment agreement between the Company and Jonathan Rubin, dated July 25, 2013, filed as Exhibit 10.13 to Form F-1/A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60" w:type="dxa"/>
            <w:vAlign w:val="bottom"/>
            <w:gridSpan w:val="9"/>
          </w:tcPr>
          <w:p>
            <w:pPr>
              <w:spacing w:after="0"/>
              <w:rPr>
                <w:sz w:val="20"/>
                <w:szCs w:val="20"/>
                <w:color w:val="auto"/>
              </w:rPr>
            </w:pPr>
            <w:r>
              <w:rPr>
                <w:rFonts w:ascii="Arial" w:cs="Arial" w:eastAsia="Arial" w:hAnsi="Arial"/>
                <w:sz w:val="18"/>
                <w:szCs w:val="18"/>
                <w:color w:val="auto"/>
              </w:rPr>
              <w:t>October 22, 2013 (File No. 333-191714) and incorporated herein by reference</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4.8</w:t>
            </w:r>
          </w:p>
        </w:tc>
        <w:tc>
          <w:tcPr>
            <w:tcW w:w="10520" w:type="dxa"/>
            <w:vAlign w:val="bottom"/>
          </w:tcPr>
          <w:p>
            <w:pPr>
              <w:ind w:left="520"/>
              <w:spacing w:after="0"/>
              <w:rPr>
                <w:sz w:val="20"/>
                <w:szCs w:val="20"/>
                <w:color w:val="auto"/>
              </w:rPr>
            </w:pPr>
            <w:r>
              <w:rPr>
                <w:rFonts w:ascii="Arial" w:cs="Arial" w:eastAsia="Arial" w:hAnsi="Arial"/>
                <w:sz w:val="18"/>
                <w:szCs w:val="18"/>
                <w:color w:val="auto"/>
                <w:w w:val="92"/>
              </w:rPr>
              <w:t>Alcobra Ltd. Amended and Restated Compensation Policy for Company Office Holders, filed as Exhibit 99.2 to Form 6-K filed on June 3,</w:t>
            </w:r>
          </w:p>
        </w:tc>
      </w:tr>
      <w:tr>
        <w:trPr>
          <w:trHeight w:val="230"/>
        </w:trPr>
        <w:tc>
          <w:tcPr>
            <w:tcW w:w="860" w:type="dxa"/>
            <w:vAlign w:val="bottom"/>
          </w:tcPr>
          <w:p>
            <w:pPr>
              <w:spacing w:after="0"/>
              <w:rPr>
                <w:sz w:val="20"/>
                <w:szCs w:val="20"/>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rPr>
              <w:t>2015 and incorporated herein by reference.</w:t>
            </w:r>
          </w:p>
        </w:tc>
      </w:tr>
      <w:tr>
        <w:trPr>
          <w:trHeight w:val="378"/>
        </w:trPr>
        <w:tc>
          <w:tcPr>
            <w:tcW w:w="860" w:type="dxa"/>
            <w:vAlign w:val="bottom"/>
          </w:tcPr>
          <w:p>
            <w:pPr>
              <w:spacing w:after="0"/>
              <w:rPr>
                <w:sz w:val="20"/>
                <w:szCs w:val="20"/>
                <w:color w:val="auto"/>
              </w:rPr>
            </w:pPr>
            <w:r>
              <w:rPr>
                <w:rFonts w:ascii="Arial" w:cs="Arial" w:eastAsia="Arial" w:hAnsi="Arial"/>
                <w:sz w:val="18"/>
                <w:szCs w:val="18"/>
                <w:color w:val="auto"/>
              </w:rPr>
              <w:t>12.1</w:t>
            </w:r>
          </w:p>
        </w:tc>
        <w:tc>
          <w:tcPr>
            <w:tcW w:w="10520" w:type="dxa"/>
            <w:vAlign w:val="bottom"/>
          </w:tcPr>
          <w:p>
            <w:pPr>
              <w:ind w:left="520"/>
              <w:spacing w:after="0"/>
              <w:rPr>
                <w:sz w:val="20"/>
                <w:szCs w:val="20"/>
                <w:color w:val="auto"/>
              </w:rPr>
            </w:pPr>
            <w:r>
              <w:rPr>
                <w:rFonts w:ascii="Arial" w:cs="Arial" w:eastAsia="Arial" w:hAnsi="Arial"/>
                <w:sz w:val="18"/>
                <w:szCs w:val="18"/>
                <w:color w:val="auto"/>
              </w:rPr>
              <w:t>Certification of the Chief Executive Officer pursuant to Rule 13a-14(a) of the Securities Exchange Act of 1934</w:t>
            </w:r>
          </w:p>
        </w:tc>
      </w:tr>
      <w:tr>
        <w:trPr>
          <w:trHeight w:val="378"/>
        </w:trPr>
        <w:tc>
          <w:tcPr>
            <w:tcW w:w="860" w:type="dxa"/>
            <w:vAlign w:val="bottom"/>
          </w:tcPr>
          <w:p>
            <w:pPr>
              <w:spacing w:after="0"/>
              <w:rPr>
                <w:sz w:val="20"/>
                <w:szCs w:val="20"/>
                <w:color w:val="auto"/>
              </w:rPr>
            </w:pPr>
            <w:r>
              <w:rPr>
                <w:rFonts w:ascii="Arial" w:cs="Arial" w:eastAsia="Arial" w:hAnsi="Arial"/>
                <w:sz w:val="18"/>
                <w:szCs w:val="18"/>
                <w:color w:val="auto"/>
              </w:rPr>
              <w:t>12.2</w:t>
            </w:r>
          </w:p>
        </w:tc>
        <w:tc>
          <w:tcPr>
            <w:tcW w:w="10520" w:type="dxa"/>
            <w:vAlign w:val="bottom"/>
          </w:tcPr>
          <w:p>
            <w:pPr>
              <w:ind w:left="520"/>
              <w:spacing w:after="0"/>
              <w:rPr>
                <w:sz w:val="20"/>
                <w:szCs w:val="20"/>
                <w:color w:val="auto"/>
              </w:rPr>
            </w:pPr>
            <w:r>
              <w:rPr>
                <w:rFonts w:ascii="Arial" w:cs="Arial" w:eastAsia="Arial" w:hAnsi="Arial"/>
                <w:sz w:val="18"/>
                <w:szCs w:val="18"/>
                <w:color w:val="auto"/>
              </w:rPr>
              <w:t>Certification of the Chief Financial Officer pursuant to Rule 13a-14(a) of the Securities Exchange Act of 1934</w:t>
            </w:r>
          </w:p>
        </w:tc>
      </w:tr>
      <w:tr>
        <w:trPr>
          <w:trHeight w:val="378"/>
        </w:trPr>
        <w:tc>
          <w:tcPr>
            <w:tcW w:w="860" w:type="dxa"/>
            <w:vAlign w:val="bottom"/>
          </w:tcPr>
          <w:p>
            <w:pPr>
              <w:spacing w:after="0"/>
              <w:rPr>
                <w:sz w:val="20"/>
                <w:szCs w:val="20"/>
                <w:color w:val="auto"/>
              </w:rPr>
            </w:pPr>
            <w:r>
              <w:rPr>
                <w:rFonts w:ascii="Arial" w:cs="Arial" w:eastAsia="Arial" w:hAnsi="Arial"/>
                <w:sz w:val="18"/>
                <w:szCs w:val="18"/>
                <w:color w:val="auto"/>
              </w:rPr>
              <w:t>13.1</w:t>
            </w:r>
          </w:p>
        </w:tc>
        <w:tc>
          <w:tcPr>
            <w:tcW w:w="10520" w:type="dxa"/>
            <w:vAlign w:val="bottom"/>
          </w:tcPr>
          <w:p>
            <w:pPr>
              <w:ind w:left="520"/>
              <w:spacing w:after="0"/>
              <w:rPr>
                <w:sz w:val="20"/>
                <w:szCs w:val="20"/>
                <w:color w:val="auto"/>
              </w:rPr>
            </w:pPr>
            <w:r>
              <w:rPr>
                <w:rFonts w:ascii="Arial" w:cs="Arial" w:eastAsia="Arial" w:hAnsi="Arial"/>
                <w:sz w:val="18"/>
                <w:szCs w:val="18"/>
                <w:color w:val="auto"/>
              </w:rPr>
              <w:t>Certification of the Chief Executive Officer pursuant to 18 U.S.C. 1350, furnished herewith</w:t>
            </w:r>
          </w:p>
        </w:tc>
      </w:tr>
      <w:tr>
        <w:trPr>
          <w:trHeight w:val="378"/>
        </w:trPr>
        <w:tc>
          <w:tcPr>
            <w:tcW w:w="860" w:type="dxa"/>
            <w:vAlign w:val="bottom"/>
          </w:tcPr>
          <w:p>
            <w:pPr>
              <w:spacing w:after="0"/>
              <w:rPr>
                <w:sz w:val="20"/>
                <w:szCs w:val="20"/>
                <w:color w:val="auto"/>
              </w:rPr>
            </w:pPr>
            <w:r>
              <w:rPr>
                <w:rFonts w:ascii="Arial" w:cs="Arial" w:eastAsia="Arial" w:hAnsi="Arial"/>
                <w:sz w:val="18"/>
                <w:szCs w:val="18"/>
                <w:color w:val="auto"/>
              </w:rPr>
              <w:t>13.2</w:t>
            </w:r>
          </w:p>
        </w:tc>
        <w:tc>
          <w:tcPr>
            <w:tcW w:w="10520" w:type="dxa"/>
            <w:vAlign w:val="bottom"/>
          </w:tcPr>
          <w:p>
            <w:pPr>
              <w:ind w:left="520"/>
              <w:spacing w:after="0"/>
              <w:rPr>
                <w:sz w:val="20"/>
                <w:szCs w:val="20"/>
                <w:color w:val="auto"/>
              </w:rPr>
            </w:pPr>
            <w:r>
              <w:rPr>
                <w:rFonts w:ascii="Arial" w:cs="Arial" w:eastAsia="Arial" w:hAnsi="Arial"/>
                <w:sz w:val="18"/>
                <w:szCs w:val="18"/>
                <w:color w:val="auto"/>
              </w:rPr>
              <w:t>Certification of the Chief Financial Officer pursuant to 18 U.S.C. 1350, furnished herewith</w:t>
            </w:r>
          </w:p>
        </w:tc>
      </w:tr>
      <w:tr>
        <w:trPr>
          <w:trHeight w:val="378"/>
        </w:trPr>
        <w:tc>
          <w:tcPr>
            <w:tcW w:w="860" w:type="dxa"/>
            <w:vAlign w:val="bottom"/>
          </w:tcPr>
          <w:p>
            <w:pPr>
              <w:spacing w:after="0"/>
              <w:rPr>
                <w:sz w:val="20"/>
                <w:szCs w:val="20"/>
                <w:color w:val="auto"/>
              </w:rPr>
            </w:pPr>
            <w:r>
              <w:rPr>
                <w:rFonts w:ascii="Arial" w:cs="Arial" w:eastAsia="Arial" w:hAnsi="Arial"/>
                <w:sz w:val="18"/>
                <w:szCs w:val="18"/>
                <w:color w:val="auto"/>
              </w:rPr>
              <w:t>15.1</w:t>
            </w:r>
          </w:p>
        </w:tc>
        <w:tc>
          <w:tcPr>
            <w:tcW w:w="10520" w:type="dxa"/>
            <w:vAlign w:val="bottom"/>
          </w:tcPr>
          <w:p>
            <w:pPr>
              <w:ind w:left="520"/>
              <w:spacing w:after="0"/>
              <w:rPr>
                <w:sz w:val="20"/>
                <w:szCs w:val="20"/>
                <w:color w:val="auto"/>
              </w:rPr>
            </w:pPr>
            <w:r>
              <w:rPr>
                <w:rFonts w:ascii="Arial" w:cs="Arial" w:eastAsia="Arial" w:hAnsi="Arial"/>
                <w:sz w:val="18"/>
                <w:szCs w:val="18"/>
                <w:color w:val="auto"/>
              </w:rPr>
              <w:t>Consent of Kost, Forer, Gabbay &amp; Kasierer, a member of Ernst &amp; Young Global</w:t>
            </w:r>
          </w:p>
        </w:tc>
      </w:tr>
    </w:tbl>
    <w:p>
      <w:pPr>
        <w:spacing w:after="0" w:line="148" w:lineRule="exact"/>
        <w:rPr>
          <w:sz w:val="20"/>
          <w:szCs w:val="20"/>
          <w:color w:val="auto"/>
        </w:rPr>
      </w:pPr>
    </w:p>
    <w:p>
      <w:pPr>
        <w:ind w:left="1380" w:right="300" w:hanging="1372"/>
        <w:spacing w:after="0" w:line="231" w:lineRule="auto"/>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materials from our Annual Report on Form 20-F for the year ended December 31, 2015 formatted in XBRL (eXtensible Business Reporting Language): (i) the Consolidated Balance Sheets, (ii) the Consolidated Statements of Comprehensive Loss, (iii) the Consolidated Statements of Changes in Shareholders' Equity, (iv) the Consolidated Statements of Cash Flows and (v) the Notes to Consolidated Financial Statements, tagged as blocks of text and in detail</w:t>
      </w:r>
    </w:p>
    <w:p>
      <w:pPr>
        <w:spacing w:after="0" w:line="188" w:lineRule="exact"/>
        <w:rPr>
          <w:rFonts w:ascii="Arial" w:cs="Arial" w:eastAsia="Arial" w:hAnsi="Arial"/>
          <w:sz w:val="18"/>
          <w:szCs w:val="18"/>
          <w:color w:val="auto"/>
        </w:rPr>
      </w:pPr>
    </w:p>
    <w:p>
      <w:pPr>
        <w:ind w:left="660" w:hanging="166"/>
        <w:spacing w:after="0"/>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English translation of original Hebrew document.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Alcobra Ltd. hereby certifies that it meets all of the requirements for filing on Form 20-F and that it has duly caused and authorized the undersigned to sign this annual report on its behalf.</w:t>
      </w:r>
    </w:p>
    <w:p>
      <w:pPr>
        <w:spacing w:after="0" w:line="15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ALCOBRA LTD.</w:t>
      </w:r>
    </w:p>
    <w:p>
      <w:pPr>
        <w:spacing w:after="0" w:line="171"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6350</wp:posOffset>
            </wp:positionV>
            <wp:extent cx="31813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6400"/>
        <w:spacing w:after="0" w:line="232" w:lineRule="auto"/>
        <w:rPr>
          <w:sz w:val="20"/>
          <w:szCs w:val="20"/>
          <w:color w:val="auto"/>
        </w:rPr>
      </w:pPr>
      <w:r>
        <w:rPr>
          <w:rFonts w:ascii="Arial" w:cs="Arial" w:eastAsia="Arial" w:hAnsi="Arial"/>
          <w:sz w:val="18"/>
          <w:szCs w:val="18"/>
          <w:color w:val="auto"/>
        </w:rPr>
        <w:t>Dr. Yaron Daniely</w:t>
      </w:r>
    </w:p>
    <w:p>
      <w:pPr>
        <w:spacing w:after="0" w:line="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 and President</w:t>
      </w:r>
    </w:p>
    <w:p>
      <w:pPr>
        <w:spacing w:after="0" w:line="15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Date: March 4, 2016</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80" w:type="dxa"/>
            <w:vAlign w:val="bottom"/>
            <w:gridSpan w:val="2"/>
          </w:tcPr>
          <w:p>
            <w:pPr>
              <w:jc w:val="center"/>
              <w:ind w:right="2330"/>
              <w:spacing w:after="0"/>
              <w:rPr>
                <w:sz w:val="20"/>
                <w:szCs w:val="20"/>
                <w:color w:val="auto"/>
              </w:rPr>
            </w:pPr>
            <w:r>
              <w:rPr>
                <w:rFonts w:ascii="Arial" w:cs="Arial" w:eastAsia="Arial" w:hAnsi="Arial"/>
                <w:sz w:val="18"/>
                <w:szCs w:val="18"/>
                <w:b w:val="1"/>
                <w:bCs w:val="1"/>
                <w:color w:val="auto"/>
                <w:w w:val="99"/>
              </w:rPr>
              <w:t>ALCOBRA LTD. AND ITS SUBSIDIARY</w:t>
            </w:r>
          </w:p>
        </w:tc>
        <w:tc>
          <w:tcPr>
            <w:tcW w:w="126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2"/>
          </w:tcPr>
          <w:p>
            <w:pPr>
              <w:jc w:val="center"/>
              <w:ind w:right="2310"/>
              <w:spacing w:after="0"/>
              <w:rPr>
                <w:sz w:val="20"/>
                <w:szCs w:val="20"/>
                <w:color w:val="auto"/>
              </w:rPr>
            </w:pPr>
            <w:r>
              <w:rPr>
                <w:rFonts w:ascii="Arial" w:cs="Arial" w:eastAsia="Arial" w:hAnsi="Arial"/>
                <w:sz w:val="18"/>
                <w:szCs w:val="18"/>
                <w:b w:val="1"/>
                <w:bCs w:val="1"/>
                <w:color w:val="auto"/>
              </w:rPr>
              <w:t>CONSOLIDATED FINANCIAL STATEMENTS</w:t>
            </w:r>
          </w:p>
        </w:tc>
        <w:tc>
          <w:tcPr>
            <w:tcW w:w="126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0" w:type="dxa"/>
            <w:vAlign w:val="bottom"/>
          </w:tcPr>
          <w:p>
            <w:pPr>
              <w:jc w:val="center"/>
              <w:ind w:right="3190"/>
              <w:spacing w:after="0"/>
              <w:rPr>
                <w:sz w:val="20"/>
                <w:szCs w:val="20"/>
                <w:color w:val="auto"/>
              </w:rPr>
            </w:pPr>
            <w:r>
              <w:rPr>
                <w:rFonts w:ascii="Arial" w:cs="Arial" w:eastAsia="Arial" w:hAnsi="Arial"/>
                <w:sz w:val="18"/>
                <w:szCs w:val="18"/>
                <w:b w:val="1"/>
                <w:bCs w:val="1"/>
                <w:color w:val="auto"/>
                <w:w w:val="95"/>
              </w:rPr>
              <w:t>AS OF DECEMBER 31, 2015</w:t>
            </w:r>
          </w:p>
        </w:tc>
        <w:tc>
          <w:tcPr>
            <w:tcW w:w="126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2"/>
          </w:tcPr>
          <w:p>
            <w:pPr>
              <w:jc w:val="center"/>
              <w:ind w:right="2310"/>
              <w:spacing w:after="0"/>
              <w:rPr>
                <w:sz w:val="20"/>
                <w:szCs w:val="20"/>
                <w:color w:val="auto"/>
              </w:rPr>
            </w:pPr>
            <w:r>
              <w:rPr>
                <w:rFonts w:ascii="Arial" w:cs="Arial" w:eastAsia="Arial" w:hAnsi="Arial"/>
                <w:sz w:val="18"/>
                <w:szCs w:val="18"/>
                <w:b w:val="1"/>
                <w:bCs w:val="1"/>
                <w:color w:val="auto"/>
                <w:w w:val="98"/>
              </w:rPr>
              <w:t>U.S. DOLLARS IN THOUSANDS</w:t>
            </w:r>
          </w:p>
        </w:tc>
        <w:tc>
          <w:tcPr>
            <w:tcW w:w="126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0" w:type="dxa"/>
            <w:vAlign w:val="bottom"/>
          </w:tcPr>
          <w:p>
            <w:pPr>
              <w:jc w:val="center"/>
              <w:ind w:right="3210"/>
              <w:spacing w:after="0"/>
              <w:rPr>
                <w:sz w:val="20"/>
                <w:szCs w:val="20"/>
                <w:color w:val="auto"/>
              </w:rPr>
            </w:pPr>
            <w:r>
              <w:rPr>
                <w:rFonts w:ascii="Arial" w:cs="Arial" w:eastAsia="Arial" w:hAnsi="Arial"/>
                <w:sz w:val="18"/>
                <w:szCs w:val="18"/>
                <w:b w:val="1"/>
                <w:bCs w:val="1"/>
                <w:color w:val="auto"/>
              </w:rPr>
              <w:t>INDEX</w:t>
            </w:r>
          </w:p>
        </w:tc>
        <w:tc>
          <w:tcPr>
            <w:tcW w:w="126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0"/>
        </w:trPr>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Report of Independent Registered Public Accounting Firm</w:t>
              </w:r>
            </w:hyperlink>
          </w:p>
        </w:tc>
        <w:tc>
          <w:tcPr>
            <w:tcW w:w="12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F-2</w:t>
            </w:r>
          </w:p>
        </w:tc>
      </w:tr>
      <w:tr>
        <w:trPr>
          <w:trHeight w:val="216"/>
        </w:trPr>
        <w:tc>
          <w:tcPr>
            <w:tcW w:w="60" w:type="dxa"/>
            <w:vAlign w:val="bottom"/>
            <w:tcBorders>
              <w:top w:val="single" w:sz="8" w:color="CCEEFF"/>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Consolidated Balance Sheets</w:t>
              </w:r>
            </w:hyperlink>
          </w:p>
        </w:tc>
        <w:tc>
          <w:tcPr>
            <w:tcW w:w="12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F-3</w:t>
            </w:r>
          </w:p>
        </w:tc>
      </w:tr>
      <w:tr>
        <w:trPr>
          <w:trHeight w:val="216"/>
        </w:trPr>
        <w:tc>
          <w:tcPr>
            <w:tcW w:w="60" w:type="dxa"/>
            <w:vAlign w:val="bottom"/>
            <w:tcBorders>
              <w:top w:val="single" w:sz="8" w:color="CCEEFF"/>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Consolidated Statements of Operations</w:t>
              </w:r>
            </w:hyperlink>
          </w:p>
        </w:tc>
        <w:tc>
          <w:tcPr>
            <w:tcW w:w="12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F-4</w:t>
            </w:r>
          </w:p>
        </w:tc>
      </w:tr>
      <w:tr>
        <w:trPr>
          <w:trHeight w:val="216"/>
        </w:trPr>
        <w:tc>
          <w:tcPr>
            <w:tcW w:w="60" w:type="dxa"/>
            <w:vAlign w:val="bottom"/>
            <w:tcBorders>
              <w:top w:val="single" w:sz="8" w:color="CCEEFF"/>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Statements of Changes in Shareholders' Equity</w:t>
              </w:r>
            </w:hyperlink>
          </w:p>
        </w:tc>
        <w:tc>
          <w:tcPr>
            <w:tcW w:w="12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F-5</w:t>
            </w:r>
          </w:p>
        </w:tc>
      </w:tr>
      <w:tr>
        <w:trPr>
          <w:trHeight w:val="216"/>
        </w:trPr>
        <w:tc>
          <w:tcPr>
            <w:tcW w:w="60" w:type="dxa"/>
            <w:vAlign w:val="bottom"/>
            <w:tcBorders>
              <w:top w:val="single" w:sz="8" w:color="CCEEFF"/>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Consolidated Statements of Cash Flows</w:t>
              </w:r>
            </w:hyperlink>
          </w:p>
        </w:tc>
        <w:tc>
          <w:tcPr>
            <w:tcW w:w="12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F-6</w:t>
            </w:r>
          </w:p>
        </w:tc>
      </w:tr>
      <w:tr>
        <w:trPr>
          <w:trHeight w:val="216"/>
        </w:trPr>
        <w:tc>
          <w:tcPr>
            <w:tcW w:w="60" w:type="dxa"/>
            <w:vAlign w:val="bottom"/>
            <w:tcBorders>
              <w:top w:val="single" w:sz="8" w:color="CCEEFF"/>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b w:val="1"/>
                <w:bCs w:val="1"/>
                <w:color w:val="0000EE"/>
                <w:w w:val="88"/>
              </w:rPr>
            </w:pPr>
            <w:hyperlink w:anchor="page87">
              <w:r>
                <w:rPr>
                  <w:rFonts w:ascii="Arial" w:cs="Arial" w:eastAsia="Arial" w:hAnsi="Arial"/>
                  <w:sz w:val="18"/>
                  <w:szCs w:val="18"/>
                  <w:b w:val="1"/>
                  <w:bCs w:val="1"/>
                  <w:color w:val="0000EE"/>
                  <w:w w:val="88"/>
                </w:rPr>
                <w:t>Notes to Consolidated Financial Statements</w:t>
              </w:r>
            </w:hyperlink>
          </w:p>
        </w:tc>
        <w:tc>
          <w:tcPr>
            <w:tcW w:w="6760" w:type="dxa"/>
            <w:vAlign w:val="bottom"/>
            <w:tcBorders>
              <w:bottom w:val="single" w:sz="8" w:color="CCEEFF"/>
            </w:tcBorders>
            <w:gridSpan w:val="3"/>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4"/>
              </w:rPr>
              <w:t>F-7 - F-23</w:t>
            </w:r>
          </w:p>
        </w:tc>
      </w:tr>
      <w:tr>
        <w:trPr>
          <w:trHeight w:val="432"/>
        </w:trPr>
        <w:tc>
          <w:tcPr>
            <w:tcW w:w="10160" w:type="dxa"/>
            <w:vAlign w:val="bottom"/>
            <w:gridSpan w:val="8"/>
          </w:tcPr>
          <w:p>
            <w:pPr>
              <w:jc w:val="center"/>
              <w:ind w:left="1170"/>
              <w:spacing w:after="0"/>
              <w:rPr>
                <w:sz w:val="20"/>
                <w:szCs w:val="20"/>
                <w:color w:val="auto"/>
              </w:rPr>
            </w:pPr>
            <w:r>
              <w:rPr>
                <w:rFonts w:ascii="Arial" w:cs="Arial" w:eastAsia="Arial" w:hAnsi="Arial"/>
                <w:sz w:val="18"/>
                <w:szCs w:val="18"/>
                <w:color w:val="auto"/>
                <w:w w:val="95"/>
              </w:rPr>
              <w:t>- - - - - - - - - - - - - -</w:t>
            </w:r>
          </w:p>
        </w:tc>
        <w:tc>
          <w:tcPr>
            <w:tcW w:w="1260" w:type="dxa"/>
            <w:vAlign w:val="bottom"/>
          </w:tcPr>
          <w:p>
            <w:pPr>
              <w:spacing w:after="0"/>
              <w:rPr>
                <w:sz w:val="24"/>
                <w:szCs w:val="24"/>
                <w:color w:val="auto"/>
              </w:rPr>
            </w:pPr>
          </w:p>
        </w:tc>
      </w:tr>
      <w:tr>
        <w:trPr>
          <w:trHeight w:val="675"/>
        </w:trPr>
        <w:tc>
          <w:tcPr>
            <w:tcW w:w="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1" w:name="page82"/>
    <w:bookmarkEnd w:id="81"/>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840740" cy="9607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840740" cy="96075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6"/>
          <w:szCs w:val="16"/>
          <w:b w:val="1"/>
          <w:bCs w:val="1"/>
          <w:color w:val="auto"/>
        </w:rPr>
        <w:t>Kost Forer Gabbay &amp; Kasierer</w:t>
      </w:r>
    </w:p>
    <w:p>
      <w:pPr>
        <w:spacing w:after="0" w:line="5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3 Aminadav St.</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Tel-Aviv 6706703, Israel</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Tel: +972-3-6232525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Fax: +972-3-5622555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ey.com</w:t>
      </w:r>
    </w:p>
    <w:p>
      <w:pPr>
        <w:spacing w:after="0" w:line="200" w:lineRule="exact"/>
        <w:rPr>
          <w:sz w:val="20"/>
          <w:szCs w:val="20"/>
          <w:color w:val="auto"/>
        </w:rPr>
      </w:pPr>
    </w:p>
    <w:p>
      <w:pPr>
        <w:sectPr>
          <w:pgSz w:w="11900" w:h="16838" w:orient="portrait"/>
          <w:cols w:equalWidth="0" w:num="2">
            <w:col w:w="5920" w:space="720"/>
            <w:col w:w="4780"/>
          </w:cols>
          <w:pgMar w:left="240" w:top="1440"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Shareholders and Board of Directors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29" w:lineRule="exact"/>
        <w:rPr>
          <w:sz w:val="20"/>
          <w:szCs w:val="20"/>
          <w:color w:val="auto"/>
        </w:rPr>
      </w:pPr>
    </w:p>
    <w:p>
      <w:pPr>
        <w:jc w:val="both"/>
        <w:ind w:firstLine="510"/>
        <w:spacing w:after="0" w:line="312" w:lineRule="auto"/>
        <w:rPr>
          <w:sz w:val="20"/>
          <w:szCs w:val="20"/>
          <w:color w:val="auto"/>
        </w:rPr>
      </w:pPr>
      <w:r>
        <w:rPr>
          <w:rFonts w:ascii="Arial" w:cs="Arial" w:eastAsia="Arial" w:hAnsi="Arial"/>
          <w:sz w:val="16"/>
          <w:szCs w:val="16"/>
          <w:color w:val="auto"/>
        </w:rPr>
        <w:t>We have audited the accompanying consolidated balance sheets of Alcobra Ltd. and its subsidiary as of December 31, 2015 and 2014, and the related consolidated statements of operations, shareholders'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4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Alcobra Ltd. and its subsidiary at December 31, 2015 and 2014, and the consolidated results of their operations and their cash flows for each of the three years in the period ended December 31, 2015, in conformity with U.S. generally accepted accounting principles.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Tel-Aviv, Israel</w:t>
            </w:r>
          </w:p>
        </w:tc>
        <w:tc>
          <w:tcPr>
            <w:tcW w:w="236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KOST FORER GABBAY &amp; KASIERER</w:t>
            </w:r>
          </w:p>
        </w:tc>
      </w:tr>
      <w:tr>
        <w:trPr>
          <w:trHeight w:val="224"/>
        </w:trPr>
        <w:tc>
          <w:tcPr>
            <w:tcW w:w="3360" w:type="dxa"/>
            <w:vAlign w:val="bottom"/>
          </w:tcPr>
          <w:p>
            <w:pPr>
              <w:spacing w:after="0"/>
              <w:rPr>
                <w:sz w:val="20"/>
                <w:szCs w:val="20"/>
                <w:color w:val="auto"/>
              </w:rPr>
            </w:pPr>
            <w:r>
              <w:rPr>
                <w:rFonts w:ascii="Arial" w:cs="Arial" w:eastAsia="Arial" w:hAnsi="Arial"/>
                <w:sz w:val="18"/>
                <w:szCs w:val="18"/>
                <w:color w:val="auto"/>
              </w:rPr>
              <w:t>March 4, 2016</w:t>
            </w:r>
          </w:p>
        </w:tc>
        <w:tc>
          <w:tcPr>
            <w:tcW w:w="236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A Member of EY Global</w:t>
            </w:r>
          </w:p>
        </w:tc>
      </w:tr>
      <w:tr>
        <w:trPr>
          <w:trHeight w:val="634"/>
        </w:trPr>
        <w:tc>
          <w:tcPr>
            <w:tcW w:w="336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2"/>
          </w:tcPr>
          <w:p>
            <w:pPr>
              <w:ind w:left="2240"/>
              <w:spacing w:after="0"/>
              <w:rPr>
                <w:sz w:val="20"/>
                <w:szCs w:val="20"/>
                <w:color w:val="auto"/>
              </w:rPr>
            </w:pPr>
            <w:r>
              <w:rPr>
                <w:rFonts w:ascii="Arial" w:cs="Arial" w:eastAsia="Arial" w:hAnsi="Arial"/>
                <w:sz w:val="18"/>
                <w:szCs w:val="18"/>
                <w:color w:val="auto"/>
              </w:rPr>
              <w:t>F-2</w:t>
            </w:r>
          </w:p>
        </w:tc>
      </w:tr>
    </w:tbl>
    <w:p>
      <w:pPr>
        <w:sectPr>
          <w:pgSz w:w="11900" w:h="16838" w:orient="portrait"/>
          <w:cols w:equalWidth="0" w:num="1">
            <w:col w:w="11420"/>
          </w:cols>
          <w:pgMar w:left="240" w:top="1440" w:right="23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16,658</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bank deposits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19,522</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Prepaid expenses and other receivables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1,666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52,346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22,126</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60"/>
              <w:spacing w:after="0"/>
              <w:rPr>
                <w:sz w:val="20"/>
                <w:szCs w:val="20"/>
                <w:color w:val="auto"/>
              </w:rPr>
            </w:pPr>
            <w:r>
              <w:rPr>
                <w:rFonts w:ascii="Arial" w:cs="Arial" w:eastAsia="Arial" w:hAnsi="Arial"/>
                <w:sz w:val="18"/>
                <w:szCs w:val="18"/>
                <w:color w:val="auto"/>
              </w:rPr>
              <w:t>LONG-TERM ASSETS: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bank deposits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long-term assets</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19,337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ASSETS</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71,683</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Trade payables</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80" w:type="dxa"/>
            <w:vAlign w:val="bottom"/>
          </w:tcPr>
          <w:p>
            <w:pPr>
              <w:ind w:left="180"/>
              <w:spacing w:after="0" w:line="201" w:lineRule="exact"/>
              <w:rPr>
                <w:sz w:val="20"/>
                <w:szCs w:val="20"/>
                <w:color w:val="auto"/>
              </w:rPr>
            </w:pPr>
            <w:r>
              <w:rPr>
                <w:rFonts w:ascii="Arial" w:cs="Arial" w:eastAsia="Arial" w:hAnsi="Arial"/>
                <w:sz w:val="18"/>
                <w:szCs w:val="18"/>
                <w:color w:val="auto"/>
              </w:rPr>
              <w:t>Ordinary shares of NIS 0.01 par value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w w:val="89"/>
              </w:rPr>
              <w:t>50,000,000 shares authorized at December 31, 2015 and 2014; 27,865,244 and 14,007,046 issued shares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w w:val="98"/>
              </w:rPr>
              <w:t>at December 31, 2015 and 2014, respectively; 27,560,920 and 13,702,722 shares outstanding at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rPr>
              <w:t>December 31, 2015 and 2014, respectively</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shares - 304,324 ordinary shares at December 31, 2015 and 2014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140,274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71,472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(51,568)</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69,331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19,943</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SHAREHOLDERS' EQUITY</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71,683</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Represents an amount less than $ 1.</w:t>
            </w: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tcBorders>
              <w:bottom w:val="single" w:sz="8" w:color="auto"/>
            </w:tcBorders>
          </w:tcPr>
          <w:p>
            <w:pPr>
              <w:ind w:left="5600"/>
              <w:spacing w:after="0"/>
              <w:rPr>
                <w:sz w:val="20"/>
                <w:szCs w:val="20"/>
                <w:color w:val="auto"/>
              </w:rPr>
            </w:pPr>
            <w:r>
              <w:rPr>
                <w:rFonts w:ascii="Arial" w:cs="Arial" w:eastAsia="Arial" w:hAnsi="Arial"/>
                <w:sz w:val="18"/>
                <w:szCs w:val="18"/>
                <w:color w:val="auto"/>
              </w:rPr>
              <w:t>F-3</w:t>
            </w: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0"/>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13,461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25,105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7,066</w:t>
            </w:r>
          </w:p>
        </w:tc>
      </w:tr>
      <w:tr>
        <w:trPr>
          <w:trHeight w:val="216"/>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Pre-commercialization expenses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w:t>
            </w:r>
          </w:p>
        </w:tc>
      </w:tr>
      <w:tr>
        <w:trPr>
          <w:trHeight w:val="210"/>
        </w:trPr>
        <w:tc>
          <w:tcPr>
            <w:tcW w:w="6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10,290</w:t>
            </w:r>
          </w:p>
        </w:tc>
      </w:tr>
      <w:tr>
        <w:trPr>
          <w:trHeight w:val="216"/>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Financial expenses (income), net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r>
      <w:tr>
        <w:trPr>
          <w:trHeight w:val="210"/>
        </w:trPr>
        <w:tc>
          <w:tcPr>
            <w:tcW w:w="6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 before taxes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10,487</w:t>
            </w:r>
          </w:p>
        </w:tc>
      </w:tr>
      <w:tr>
        <w:trPr>
          <w:trHeight w:val="216"/>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Tax expenses (benefits)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0"/>
        </w:trPr>
        <w:tc>
          <w:tcPr>
            <w:tcW w:w="6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19,449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32,834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4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2"/>
              </w:rPr>
              <w:t>Weighted average number of ordinary shares used in computing basic and diluted net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per share</w:t>
            </w:r>
          </w:p>
        </w:tc>
        <w:tc>
          <w:tcPr>
            <w:tcW w:w="3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21,638,207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13,674,818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10,177,786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ind w:left="12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b w:val="1"/>
                <w:bCs w:val="1"/>
                <w:color w:val="auto"/>
              </w:rPr>
              <w:t>Ordinary Shares</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Treasury shares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paid-in</w:t>
            </w:r>
          </w:p>
        </w:tc>
        <w:tc>
          <w:tcPr>
            <w:tcW w:w="1260" w:type="dxa"/>
            <w:vAlign w:val="bottom"/>
            <w:gridSpan w:val="4"/>
          </w:tcPr>
          <w:p>
            <w:pPr>
              <w:ind w:left="100"/>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21"/>
                <w:szCs w:val="21"/>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shareholders'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Number</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amoun</w:t>
            </w:r>
            <w:r>
              <w:rPr>
                <w:rFonts w:ascii="Arial" w:cs="Arial" w:eastAsia="Arial" w:hAnsi="Arial"/>
                <w:sz w:val="18"/>
                <w:szCs w:val="18"/>
                <w:color w:val="auto"/>
                <w:w w:val="99"/>
              </w:rPr>
              <w:t>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capital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January 1, 2013</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7,794,256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304,324</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Issuance of shares upon exercise of options</w:t>
            </w:r>
          </w:p>
        </w:tc>
        <w:tc>
          <w:tcPr>
            <w:tcW w:w="900" w:type="dxa"/>
            <w:vAlign w:val="bottom"/>
          </w:tcPr>
          <w:p>
            <w:pPr>
              <w:jc w:val="right"/>
              <w:spacing w:after="0"/>
              <w:rPr>
                <w:sz w:val="20"/>
                <w:szCs w:val="20"/>
                <w:color w:val="auto"/>
              </w:rPr>
            </w:pPr>
            <w:r>
              <w:rPr>
                <w:rFonts w:ascii="Arial" w:cs="Arial" w:eastAsia="Arial" w:hAnsi="Arial"/>
                <w:sz w:val="18"/>
                <w:szCs w:val="18"/>
                <w:color w:val="auto"/>
              </w:rPr>
              <w:t>208,708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shares upon cashless exercise of</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85,192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gridSpan w:val="2"/>
          </w:tcPr>
          <w:p>
            <w:pPr>
              <w:spacing w:after="0" w:line="201" w:lineRule="exact"/>
              <w:rPr>
                <w:sz w:val="20"/>
                <w:szCs w:val="20"/>
                <w:color w:val="auto"/>
              </w:rPr>
            </w:pPr>
            <w:r>
              <w:rPr>
                <w:rFonts w:ascii="Arial" w:cs="Arial" w:eastAsia="Arial" w:hAnsi="Arial"/>
                <w:sz w:val="18"/>
                <w:szCs w:val="18"/>
                <w:color w:val="auto"/>
                <w:w w:val="96"/>
              </w:rPr>
              <w:t>Issuance of shares upon conversion of convertible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notes</w:t>
            </w:r>
          </w:p>
        </w:tc>
        <w:tc>
          <w:tcPr>
            <w:tcW w:w="900" w:type="dxa"/>
            <w:vAlign w:val="bottom"/>
          </w:tcPr>
          <w:p>
            <w:pPr>
              <w:jc w:val="right"/>
              <w:spacing w:after="0"/>
              <w:rPr>
                <w:sz w:val="20"/>
                <w:szCs w:val="20"/>
                <w:color w:val="auto"/>
              </w:rPr>
            </w:pPr>
            <w:r>
              <w:rPr>
                <w:rFonts w:ascii="Arial" w:cs="Arial" w:eastAsia="Arial" w:hAnsi="Arial"/>
                <w:sz w:val="18"/>
                <w:szCs w:val="18"/>
                <w:color w:val="auto"/>
              </w:rPr>
              <w:t>123,553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shares upon initial public offering</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($8.00 per share), net of $3,080 issuance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gridSpan w:val="2"/>
          </w:tcPr>
          <w:p>
            <w:pPr>
              <w:spacing w:after="0" w:line="201" w:lineRule="exact"/>
              <w:rPr>
                <w:sz w:val="20"/>
                <w:szCs w:val="20"/>
                <w:color w:val="auto"/>
              </w:rPr>
            </w:pPr>
            <w:r>
              <w:rPr>
                <w:rFonts w:ascii="Arial" w:cs="Arial" w:eastAsia="Arial" w:hAnsi="Arial"/>
                <w:sz w:val="18"/>
                <w:szCs w:val="18"/>
                <w:color w:val="auto"/>
                <w:w w:val="96"/>
              </w:rPr>
              <w:t>Issuance of shares upon secondary public offering</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($16.50 per share), net of $2,616 issuance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2,300,000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35,328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(10,548)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(10,548)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Balance as of December 31, 2013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13,636,709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304,324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67,383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(18,734)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48,688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Issuance of shares upon exercise of options</w:t>
            </w:r>
          </w:p>
        </w:tc>
        <w:tc>
          <w:tcPr>
            <w:tcW w:w="900" w:type="dxa"/>
            <w:vAlign w:val="bottom"/>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shares upon cashless exercise of</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64,839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13,702,722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304,324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shares upon exercise of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gridSpan w:val="2"/>
          </w:tcPr>
          <w:p>
            <w:pPr>
              <w:spacing w:after="0" w:line="201" w:lineRule="exact"/>
              <w:rPr>
                <w:sz w:val="20"/>
                <w:szCs w:val="20"/>
                <w:color w:val="auto"/>
              </w:rPr>
            </w:pPr>
            <w:r>
              <w:rPr>
                <w:rFonts w:ascii="Arial" w:cs="Arial" w:eastAsia="Arial" w:hAnsi="Arial"/>
                <w:sz w:val="18"/>
                <w:szCs w:val="18"/>
                <w:color w:val="auto"/>
                <w:w w:val="96"/>
              </w:rPr>
              <w:t>Issuance of shares upon public offering ($4.00 per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share), net of $203 issuance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7,475,000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27,884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27,903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shares upon public offering ($6.50 per</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net of $421 issuance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6,379,198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27,560,920</w:t>
            </w: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304,324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140,274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(71,017)</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760" w:type="dxa"/>
            <w:vAlign w:val="bottom"/>
            <w:vMerge w:val="restart"/>
          </w:tcPr>
          <w:p>
            <w:pPr>
              <w:ind w:left="360"/>
              <w:spacing w:after="0"/>
              <w:rPr>
                <w:sz w:val="20"/>
                <w:szCs w:val="20"/>
                <w:color w:val="auto"/>
              </w:rPr>
            </w:pPr>
            <w:r>
              <w:rPr>
                <w:rFonts w:ascii="Arial" w:cs="Arial" w:eastAsia="Arial" w:hAnsi="Arial"/>
                <w:sz w:val="18"/>
                <w:szCs w:val="18"/>
                <w:color w:val="auto"/>
              </w:rPr>
              <w:t>Represents an amount less than $ 1.</w:t>
            </w: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gridSpan w:val="2"/>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Year ended</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 w:type="dxa"/>
            <w:vAlign w:val="bottom"/>
            <w:shd w:val="clear" w:color="auto" w:fill="CCEEFF"/>
          </w:tcPr>
          <w:p>
            <w:pPr>
              <w:spacing w:after="0"/>
              <w:rPr>
                <w:sz w:val="16"/>
                <w:szCs w:val="16"/>
                <w:color w:val="auto"/>
              </w:rPr>
            </w:pPr>
          </w:p>
        </w:tc>
        <w:tc>
          <w:tcPr>
            <w:tcW w:w="63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3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(19,449)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(32,834)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(10,548)</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340" w:type="dxa"/>
            <w:vAlign w:val="bottom"/>
            <w:gridSpan w:val="4"/>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3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340" w:type="dxa"/>
            <w:vAlign w:val="bottom"/>
            <w:gridSpan w:val="4"/>
          </w:tcPr>
          <w:p>
            <w:pPr>
              <w:ind w:left="160"/>
              <w:spacing w:after="0"/>
              <w:rPr>
                <w:sz w:val="20"/>
                <w:szCs w:val="20"/>
                <w:color w:val="auto"/>
              </w:rPr>
            </w:pPr>
            <w:r>
              <w:rPr>
                <w:rFonts w:ascii="Arial" w:cs="Arial" w:eastAsia="Arial" w:hAnsi="Arial"/>
                <w:sz w:val="18"/>
                <w:szCs w:val="18"/>
                <w:color w:val="auto"/>
              </w:rPr>
              <w:t>Share based compensation</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4,089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3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Increase in prepaid expenses and other receivables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340" w:type="dxa"/>
            <w:vAlign w:val="bottom"/>
            <w:gridSpan w:val="4"/>
          </w:tcPr>
          <w:p>
            <w:pPr>
              <w:ind w:left="160"/>
              <w:spacing w:after="0"/>
              <w:rPr>
                <w:sz w:val="20"/>
                <w:szCs w:val="20"/>
                <w:color w:val="auto"/>
              </w:rPr>
            </w:pPr>
            <w:r>
              <w:rPr>
                <w:rFonts w:ascii="Arial" w:cs="Arial" w:eastAsia="Arial" w:hAnsi="Arial"/>
                <w:sz w:val="18"/>
                <w:szCs w:val="18"/>
                <w:color w:val="auto"/>
              </w:rPr>
              <w:t>Increase in other long-term assets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3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Increase (decrease) in trade payables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340" w:type="dxa"/>
            <w:vAlign w:val="bottom"/>
            <w:gridSpan w:val="4"/>
          </w:tcPr>
          <w:p>
            <w:pPr>
              <w:ind w:left="160"/>
              <w:spacing w:after="0"/>
              <w:rPr>
                <w:sz w:val="20"/>
                <w:szCs w:val="20"/>
                <w:color w:val="auto"/>
              </w:rPr>
            </w:pPr>
            <w:r>
              <w:rPr>
                <w:rFonts w:ascii="Arial" w:cs="Arial" w:eastAsia="Arial" w:hAnsi="Arial"/>
                <w:sz w:val="18"/>
                <w:szCs w:val="18"/>
                <w:color w:val="auto"/>
              </w:rPr>
              <w:t>Increase in accrued expenses and other liabilities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63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Interest on convertible notes</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6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(18,148)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63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3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 net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340" w:type="dxa"/>
            <w:vAlign w:val="bottom"/>
            <w:gridSpan w:val="4"/>
          </w:tcPr>
          <w:p>
            <w:pPr>
              <w:ind w:left="160"/>
              <w:spacing w:after="0"/>
              <w:rPr>
                <w:sz w:val="20"/>
                <w:szCs w:val="20"/>
                <w:color w:val="auto"/>
              </w:rPr>
            </w:pPr>
            <w:r>
              <w:rPr>
                <w:rFonts w:ascii="Arial" w:cs="Arial" w:eastAsia="Arial" w:hAnsi="Arial"/>
                <w:sz w:val="18"/>
                <w:szCs w:val="18"/>
                <w:color w:val="auto"/>
              </w:rPr>
              <w:t>Proceeds from (investment in) short-term bank deposit</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8,486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3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Investment in long-term bank deposit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340" w:type="dxa"/>
            <w:vAlign w:val="bottom"/>
            <w:gridSpan w:val="4"/>
          </w:tcPr>
          <w:p>
            <w:pPr>
              <w:ind w:left="160"/>
              <w:spacing w:after="0"/>
              <w:rPr>
                <w:sz w:val="20"/>
                <w:szCs w:val="20"/>
                <w:color w:val="auto"/>
              </w:rPr>
            </w:pPr>
            <w:r>
              <w:rPr>
                <w:rFonts w:ascii="Arial" w:cs="Arial" w:eastAsia="Arial" w:hAnsi="Arial"/>
                <w:sz w:val="18"/>
                <w:szCs w:val="18"/>
                <w:color w:val="auto"/>
              </w:rPr>
              <w:t>Investment in restricted bank deposit</w:t>
            </w:r>
          </w:p>
        </w:tc>
        <w:tc>
          <w:tcPr>
            <w:tcW w:w="9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340" w:type="dxa"/>
            <w:vAlign w:val="bottom"/>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(33,842)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8,407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(28,047)</w:t>
            </w:r>
          </w:p>
        </w:tc>
        <w:tc>
          <w:tcPr>
            <w:tcW w:w="0" w:type="dxa"/>
            <w:vAlign w:val="bottom"/>
          </w:tcPr>
          <w:p>
            <w:pPr>
              <w:spacing w:after="0"/>
              <w:rPr>
                <w:sz w:val="1"/>
                <w:szCs w:val="1"/>
                <w:color w:val="auto"/>
              </w:rPr>
            </w:pPr>
          </w:p>
        </w:tc>
      </w:tr>
      <w:tr>
        <w:trPr>
          <w:trHeight w:val="210"/>
        </w:trPr>
        <w:tc>
          <w:tcPr>
            <w:tcW w:w="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634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340" w:type="dxa"/>
            <w:vAlign w:val="bottom"/>
            <w:gridSpan w:val="4"/>
          </w:tcPr>
          <w:p>
            <w:pPr>
              <w:ind w:left="160"/>
              <w:spacing w:after="0"/>
              <w:rPr>
                <w:sz w:val="20"/>
                <w:szCs w:val="20"/>
                <w:color w:val="auto"/>
              </w:rPr>
            </w:pPr>
            <w:r>
              <w:rPr>
                <w:rFonts w:ascii="Arial" w:cs="Arial" w:eastAsia="Arial" w:hAnsi="Arial"/>
                <w:sz w:val="18"/>
                <w:szCs w:val="18"/>
                <w:color w:val="auto"/>
              </w:rPr>
              <w:t>Proceeds from issuance of convertible notes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3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Issuance of share capital upon public offering</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66,459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57,254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340" w:type="dxa"/>
            <w:vAlign w:val="bottom"/>
            <w:gridSpan w:val="4"/>
          </w:tcPr>
          <w:p>
            <w:pPr>
              <w:ind w:left="160"/>
              <w:spacing w:after="0"/>
              <w:rPr>
                <w:sz w:val="20"/>
                <w:szCs w:val="20"/>
                <w:color w:val="auto"/>
              </w:rPr>
            </w:pPr>
            <w:r>
              <w:rPr>
                <w:rFonts w:ascii="Arial" w:cs="Arial" w:eastAsia="Arial" w:hAnsi="Arial"/>
                <w:sz w:val="18"/>
                <w:szCs w:val="18"/>
                <w:color w:val="auto"/>
              </w:rPr>
              <w:t>Exercise of options</w:t>
            </w:r>
          </w:p>
        </w:tc>
        <w:tc>
          <w:tcPr>
            <w:tcW w:w="9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340" w:type="dxa"/>
            <w:vAlign w:val="bottom"/>
            <w:gridSpan w:val="4"/>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66,472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57,398</w:t>
            </w:r>
          </w:p>
        </w:tc>
        <w:tc>
          <w:tcPr>
            <w:tcW w:w="0" w:type="dxa"/>
            <w:vAlign w:val="bottom"/>
          </w:tcPr>
          <w:p>
            <w:pPr>
              <w:spacing w:after="0"/>
              <w:rPr>
                <w:sz w:val="1"/>
                <w:szCs w:val="1"/>
                <w:color w:val="auto"/>
              </w:rPr>
            </w:pPr>
          </w:p>
        </w:tc>
      </w:tr>
      <w:tr>
        <w:trPr>
          <w:trHeight w:val="210"/>
        </w:trPr>
        <w:tc>
          <w:tcPr>
            <w:tcW w:w="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Arial" w:cs="Arial" w:eastAsia="Arial" w:hAnsi="Arial"/>
                <w:sz w:val="18"/>
                <w:szCs w:val="18"/>
                <w:color w:val="auto"/>
              </w:rPr>
              <w:t>Increase (decrease) in cash and cash equivalents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(19,919)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21,998</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6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CCEEFF"/>
          </w:tcPr>
          <w:p>
            <w:pPr>
              <w:spacing w:after="0"/>
              <w:rPr>
                <w:sz w:val="21"/>
                <w:szCs w:val="21"/>
                <w:color w:val="auto"/>
              </w:rPr>
            </w:pPr>
          </w:p>
        </w:tc>
        <w:tc>
          <w:tcPr>
            <w:tcW w:w="6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16,658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22,095</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63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Non-cash transactions: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CCEEFF"/>
          </w:tcPr>
          <w:p>
            <w:pPr>
              <w:spacing w:after="0"/>
              <w:rPr>
                <w:sz w:val="21"/>
                <w:szCs w:val="21"/>
                <w:color w:val="auto"/>
              </w:rPr>
            </w:pPr>
          </w:p>
        </w:tc>
        <w:tc>
          <w:tcPr>
            <w:tcW w:w="63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Issuance of ordinary shares upon conversion of convertible notes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color w:val="auto"/>
                <w:w w:val="93"/>
              </w:rPr>
              <w:t>The accompanying notes are an integral part of the consolidated financial statements.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gridSpan w:val="5"/>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ind w:left="2920"/>
              <w:spacing w:after="0"/>
              <w:rPr>
                <w:sz w:val="20"/>
                <w:szCs w:val="20"/>
                <w:color w:val="auto"/>
              </w:rPr>
            </w:pPr>
            <w:r>
              <w:rPr>
                <w:rFonts w:ascii="Arial" w:cs="Arial" w:eastAsia="Arial" w:hAnsi="Arial"/>
                <w:sz w:val="18"/>
                <w:szCs w:val="18"/>
                <w:color w:val="auto"/>
              </w:rPr>
              <w:t>F-6</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ind w:left="1520" w:hanging="499"/>
        <w:spacing w:after="0" w:line="277" w:lineRule="auto"/>
        <w:tabs>
          <w:tab w:leader="none" w:pos="1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Alcobra Ltd. was incorporated in Israel and commenced its operation on February 7, 2008. During July 2013, a wholly-owned subsidiary was established in the state of Delaware named Alcobra Inc. (the "Subsidiary").</w:t>
      </w:r>
    </w:p>
    <w:p>
      <w:pPr>
        <w:spacing w:after="0" w:line="170" w:lineRule="exact"/>
        <w:rPr>
          <w:rFonts w:ascii="Arial" w:cs="Arial" w:eastAsia="Arial" w:hAnsi="Arial"/>
          <w:sz w:val="18"/>
          <w:szCs w:val="18"/>
          <w:color w:val="auto"/>
        </w:rPr>
      </w:pPr>
    </w:p>
    <w:p>
      <w:pPr>
        <w:jc w:val="both"/>
        <w:ind w:left="1520" w:hanging="499"/>
        <w:spacing w:after="0" w:line="257" w:lineRule="auto"/>
        <w:tabs>
          <w:tab w:leader="none" w:pos="1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Alcobra Ltd. and its Subsidiary (collectively the “Company”) are an emerging biopharmaceutical company primarily focused on the development and commercialization of a proprietary drug candidate, to treat Attention Deficit Hyperactivity Disorder, ("ADHD"), and other cognitive dysfunctions including Fragile X. The Company's objective is to conduct additional clinical trials for its drug called MDX (the "Drug") and, if those trials are successful, seek marketing approval from the U.S. Food and Drug Administration (the "FDA") and other worldwide regulatory bodies.</w:t>
      </w:r>
    </w:p>
    <w:p>
      <w:pPr>
        <w:spacing w:after="0" w:line="188" w:lineRule="exact"/>
        <w:rPr>
          <w:rFonts w:ascii="Arial" w:cs="Arial" w:eastAsia="Arial" w:hAnsi="Arial"/>
          <w:sz w:val="18"/>
          <w:szCs w:val="18"/>
          <w:color w:val="auto"/>
        </w:rPr>
      </w:pPr>
    </w:p>
    <w:p>
      <w:pPr>
        <w:jc w:val="both"/>
        <w:ind w:left="1520" w:hanging="499"/>
        <w:spacing w:after="0" w:line="259" w:lineRule="auto"/>
        <w:tabs>
          <w:tab w:leader="none" w:pos="1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has not generated revenue from the sale of any product, and does not expect to generate significant revenue unless and until the Company obtains marketing approval and commercializes the Drug. During the year ended December 31, 2015, the Company has incurred losses of $ 19,449 and had a negative cash flow from operating activities of $ 18,148. The accumulated deficit as of December 31, 2015 is $ 71,017.</w:t>
      </w:r>
    </w:p>
    <w:p>
      <w:pPr>
        <w:spacing w:after="0" w:line="186" w:lineRule="exact"/>
        <w:rPr>
          <w:rFonts w:ascii="Arial" w:cs="Arial" w:eastAsia="Arial" w:hAnsi="Arial"/>
          <w:sz w:val="18"/>
          <w:szCs w:val="18"/>
          <w:color w:val="auto"/>
        </w:rPr>
      </w:pPr>
    </w:p>
    <w:p>
      <w:pPr>
        <w:ind w:left="1520" w:hanging="499"/>
        <w:spacing w:after="0" w:line="308" w:lineRule="auto"/>
        <w:tabs>
          <w:tab w:leader="none" w:pos="1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During January and November 2015, the Company completed public offerings and issued 7,475,000 ordinary shares and 6,379,198 ordinary shares, respectively. Net proceeds from these transactions amounted to $ 27,903 and $ 38,556, respectively.</w:t>
      </w:r>
    </w:p>
    <w:p>
      <w:pPr>
        <w:spacing w:after="0" w:line="1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1020" w:right="20"/>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("U.S. GAAP").</w:t>
      </w:r>
    </w:p>
    <w:p>
      <w:pPr>
        <w:spacing w:after="0" w:line="170" w:lineRule="exact"/>
        <w:rPr>
          <w:sz w:val="20"/>
          <w:szCs w:val="20"/>
          <w:color w:val="auto"/>
        </w:rPr>
      </w:pPr>
    </w:p>
    <w:p>
      <w:pPr>
        <w:ind w:left="1520" w:hanging="499"/>
        <w:spacing w:after="0"/>
        <w:tabs>
          <w:tab w:leader="none" w:pos="1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54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72" w:lineRule="exact"/>
        <w:rPr>
          <w:rFonts w:ascii="Arial" w:cs="Arial" w:eastAsia="Arial" w:hAnsi="Arial"/>
          <w:sz w:val="18"/>
          <w:szCs w:val="18"/>
          <w:color w:val="auto"/>
        </w:rPr>
      </w:pPr>
    </w:p>
    <w:p>
      <w:pPr>
        <w:ind w:left="1520" w:hanging="499"/>
        <w:spacing w:after="0"/>
        <w:tabs>
          <w:tab w:leader="none" w:pos="1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225" w:lineRule="exact"/>
        <w:rPr>
          <w:rFonts w:ascii="Arial" w:cs="Arial" w:eastAsia="Arial" w:hAnsi="Arial"/>
          <w:sz w:val="18"/>
          <w:szCs w:val="18"/>
          <w:color w:val="auto"/>
        </w:rPr>
      </w:pPr>
    </w:p>
    <w:p>
      <w:pPr>
        <w:jc w:val="both"/>
        <w:ind w:left="1540"/>
        <w:spacing w:after="0" w:line="279" w:lineRule="auto"/>
        <w:rPr>
          <w:rFonts w:ascii="Arial" w:cs="Arial" w:eastAsia="Arial" w:hAnsi="Arial"/>
          <w:sz w:val="18"/>
          <w:szCs w:val="18"/>
          <w:color w:val="auto"/>
        </w:rPr>
      </w:pPr>
      <w:r>
        <w:rPr>
          <w:rFonts w:ascii="Arial" w:cs="Arial" w:eastAsia="Arial" w:hAnsi="Arial"/>
          <w:sz w:val="17"/>
          <w:szCs w:val="17"/>
          <w:color w:val="auto"/>
        </w:rPr>
        <w:t>The Company finances its operations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40"/>
        <w:spacing w:after="0" w:line="302" w:lineRule="auto"/>
        <w:rPr>
          <w:sz w:val="20"/>
          <w:szCs w:val="20"/>
          <w:color w:val="auto"/>
        </w:rPr>
      </w:pPr>
      <w:r>
        <w:rPr>
          <w:rFonts w:ascii="Arial" w:cs="Arial" w:eastAsia="Arial" w:hAnsi="Arial"/>
          <w:sz w:val="16"/>
          <w:szCs w:val="16"/>
          <w:color w:val="auto"/>
        </w:rPr>
        <w:t>The Company's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54" w:lineRule="exact"/>
        <w:rPr>
          <w:sz w:val="20"/>
          <w:szCs w:val="20"/>
          <w:color w:val="auto"/>
        </w:rPr>
      </w:pPr>
    </w:p>
    <w:p>
      <w:pPr>
        <w:ind w:left="1520" w:hanging="499"/>
        <w:spacing w:after="0"/>
        <w:tabs>
          <w:tab w:leader="none" w:pos="1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Alcobra Ltd. and its Subsidiary. Intercompany transactions and balances have been eliminated upon consolidation.</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Bank deposits: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Bank deposits with maturities of more than three months but less than one year are included in short-term bank deposits. Such short-term deposits are stated at cost which approximates market values.</w:t>
      </w:r>
    </w:p>
    <w:p>
      <w:pPr>
        <w:spacing w:after="0" w:line="170" w:lineRule="exact"/>
        <w:rPr>
          <w:rFonts w:ascii="Arial" w:cs="Arial" w:eastAsia="Arial" w:hAnsi="Arial"/>
          <w:sz w:val="18"/>
          <w:szCs w:val="18"/>
          <w:color w:val="auto"/>
        </w:rPr>
      </w:pPr>
    </w:p>
    <w:p>
      <w:pPr>
        <w:ind w:left="1540"/>
        <w:spacing w:after="0" w:line="308" w:lineRule="auto"/>
        <w:rPr>
          <w:rFonts w:ascii="Arial" w:cs="Arial" w:eastAsia="Arial" w:hAnsi="Arial"/>
          <w:sz w:val="18"/>
          <w:szCs w:val="18"/>
          <w:color w:val="auto"/>
        </w:rPr>
      </w:pPr>
      <w:r>
        <w:rPr>
          <w:rFonts w:ascii="Arial" w:cs="Arial" w:eastAsia="Arial" w:hAnsi="Arial"/>
          <w:sz w:val="17"/>
          <w:szCs w:val="17"/>
          <w:color w:val="auto"/>
        </w:rPr>
        <w:t>Bank deposits with maturities of more than one year are included in long-term bank deposits. Deposits as of December 31, 2015 do not have contractual maturities that exceed 2 years. Such long-term deposits are stated at cost which approximates market values.</w:t>
      </w:r>
    </w:p>
    <w:p>
      <w:pPr>
        <w:spacing w:after="0" w:line="146"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2015, the Company's bank deposits were in U.S. dollars and bore interest at a weighted average annual interest rate of 1.24%.</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rates: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0"/>
                <w:szCs w:val="20"/>
                <w:color w:val="auto"/>
              </w:rPr>
            </w:pPr>
          </w:p>
        </w:tc>
      </w:tr>
      <w:tr>
        <w:trPr>
          <w:trHeight w:val="411"/>
        </w:trPr>
        <w:tc>
          <w:tcPr>
            <w:tcW w:w="4960" w:type="dxa"/>
            <w:vAlign w:val="bottom"/>
          </w:tcPr>
          <w:p>
            <w:pPr>
              <w:ind w:left="1680"/>
              <w:spacing w:after="0"/>
              <w:rPr>
                <w:sz w:val="20"/>
                <w:szCs w:val="20"/>
                <w:color w:val="auto"/>
              </w:rPr>
            </w:pPr>
            <w:r>
              <w:rPr>
                <w:rFonts w:ascii="Arial" w:cs="Arial" w:eastAsia="Arial" w:hAnsi="Arial"/>
                <w:sz w:val="18"/>
                <w:szCs w:val="18"/>
                <w:color w:val="auto"/>
              </w:rPr>
              <w:t>Computers and electronic equipment</w:t>
            </w:r>
          </w:p>
        </w:tc>
        <w:tc>
          <w:tcPr>
            <w:tcW w:w="580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15-33</w:t>
            </w:r>
          </w:p>
        </w:tc>
        <w:tc>
          <w:tcPr>
            <w:tcW w:w="660" w:type="dxa"/>
            <w:vAlign w:val="bottom"/>
          </w:tcPr>
          <w:p>
            <w:pPr>
              <w:spacing w:after="0"/>
              <w:rPr>
                <w:sz w:val="24"/>
                <w:szCs w:val="24"/>
                <w:color w:val="auto"/>
              </w:rPr>
            </w:pPr>
          </w:p>
        </w:tc>
      </w:tr>
      <w:tr>
        <w:trPr>
          <w:trHeight w:val="216"/>
        </w:trPr>
        <w:tc>
          <w:tcPr>
            <w:tcW w:w="4960" w:type="dxa"/>
            <w:vAlign w:val="bottom"/>
          </w:tcPr>
          <w:p>
            <w:pPr>
              <w:ind w:left="1680"/>
              <w:spacing w:after="0"/>
              <w:rPr>
                <w:sz w:val="20"/>
                <w:szCs w:val="20"/>
                <w:color w:val="auto"/>
              </w:rPr>
            </w:pPr>
            <w:r>
              <w:rPr>
                <w:rFonts w:ascii="Arial" w:cs="Arial" w:eastAsia="Arial" w:hAnsi="Arial"/>
                <w:sz w:val="18"/>
                <w:szCs w:val="18"/>
                <w:color w:val="auto"/>
              </w:rPr>
              <w:t>Office furniture and equipment</w:t>
            </w:r>
          </w:p>
        </w:tc>
        <w:tc>
          <w:tcPr>
            <w:tcW w:w="5800" w:type="dxa"/>
            <w:vAlign w:val="bottom"/>
            <w:gridSpan w:val="2"/>
          </w:tcPr>
          <w:p>
            <w:pPr>
              <w:jc w:val="center"/>
              <w:ind w:left="1190"/>
              <w:spacing w:after="0"/>
              <w:rPr>
                <w:sz w:val="20"/>
                <w:szCs w:val="20"/>
                <w:color w:val="auto"/>
              </w:rPr>
            </w:pPr>
            <w:r>
              <w:rPr>
                <w:rFonts w:ascii="Arial" w:cs="Arial" w:eastAsia="Arial" w:hAnsi="Arial"/>
                <w:sz w:val="18"/>
                <w:szCs w:val="18"/>
                <w:color w:val="auto"/>
                <w:w w:val="79"/>
              </w:rPr>
              <w:t>6</w:t>
            </w:r>
          </w:p>
        </w:tc>
        <w:tc>
          <w:tcPr>
            <w:tcW w:w="660" w:type="dxa"/>
            <w:vAlign w:val="bottom"/>
          </w:tcPr>
          <w:p>
            <w:pPr>
              <w:spacing w:after="0"/>
              <w:rPr>
                <w:sz w:val="18"/>
                <w:szCs w:val="18"/>
                <w:color w:val="auto"/>
              </w:rPr>
            </w:pPr>
          </w:p>
        </w:tc>
      </w:tr>
      <w:tr>
        <w:trPr>
          <w:trHeight w:val="216"/>
        </w:trPr>
        <w:tc>
          <w:tcPr>
            <w:tcW w:w="4960" w:type="dxa"/>
            <w:vAlign w:val="bottom"/>
          </w:tcPr>
          <w:p>
            <w:pPr>
              <w:ind w:left="1680"/>
              <w:spacing w:after="0"/>
              <w:rPr>
                <w:sz w:val="20"/>
                <w:szCs w:val="20"/>
                <w:color w:val="auto"/>
              </w:rPr>
            </w:pPr>
            <w:r>
              <w:rPr>
                <w:rFonts w:ascii="Arial" w:cs="Arial" w:eastAsia="Arial" w:hAnsi="Arial"/>
                <w:sz w:val="18"/>
                <w:szCs w:val="18"/>
                <w:color w:val="auto"/>
              </w:rPr>
              <w:t>Clinical and medical equipment</w:t>
            </w:r>
          </w:p>
        </w:tc>
        <w:tc>
          <w:tcPr>
            <w:tcW w:w="580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15</w:t>
            </w:r>
          </w:p>
        </w:tc>
        <w:tc>
          <w:tcPr>
            <w:tcW w:w="660" w:type="dxa"/>
            <w:vAlign w:val="bottom"/>
          </w:tcPr>
          <w:p>
            <w:pPr>
              <w:spacing w:after="0"/>
              <w:rPr>
                <w:sz w:val="18"/>
                <w:szCs w:val="18"/>
                <w:color w:val="auto"/>
              </w:rPr>
            </w:pPr>
          </w:p>
        </w:tc>
      </w:tr>
      <w:tr>
        <w:trPr>
          <w:trHeight w:val="230"/>
        </w:trPr>
        <w:tc>
          <w:tcPr>
            <w:tcW w:w="4960" w:type="dxa"/>
            <w:vAlign w:val="bottom"/>
          </w:tcPr>
          <w:p>
            <w:pPr>
              <w:ind w:left="1680"/>
              <w:spacing w:after="0"/>
              <w:rPr>
                <w:sz w:val="20"/>
                <w:szCs w:val="20"/>
                <w:color w:val="auto"/>
              </w:rPr>
            </w:pPr>
            <w:r>
              <w:rPr>
                <w:rFonts w:ascii="Arial" w:cs="Arial" w:eastAsia="Arial" w:hAnsi="Arial"/>
                <w:sz w:val="18"/>
                <w:szCs w:val="18"/>
                <w:color w:val="auto"/>
              </w:rPr>
              <w:t>Leasehold improvement</w:t>
            </w:r>
          </w:p>
        </w:tc>
        <w:tc>
          <w:tcPr>
            <w:tcW w:w="12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1"/>
              </w:rPr>
              <w:t>The shorter of term of the lease or the useful life of the asset</w:t>
            </w:r>
          </w:p>
        </w:tc>
        <w:tc>
          <w:tcPr>
            <w:tcW w:w="660" w:type="dxa"/>
            <w:vAlign w:val="bottom"/>
          </w:tcPr>
          <w:p>
            <w:pPr>
              <w:spacing w:after="0"/>
              <w:rPr>
                <w:sz w:val="20"/>
                <w:szCs w:val="20"/>
                <w:color w:val="auto"/>
              </w:rPr>
            </w:pPr>
          </w:p>
        </w:tc>
      </w:tr>
      <w:tr>
        <w:trPr>
          <w:trHeight w:val="648"/>
        </w:trPr>
        <w:tc>
          <w:tcPr>
            <w:tcW w:w="49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F-8</w:t>
            </w: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40"/>
        <w:spacing w:after="0" w:line="293" w:lineRule="auto"/>
        <w:rPr>
          <w:sz w:val="20"/>
          <w:szCs w:val="20"/>
          <w:color w:val="auto"/>
        </w:rPr>
      </w:pPr>
      <w:r>
        <w:rPr>
          <w:rFonts w:ascii="Arial" w:cs="Arial" w:eastAsia="Arial" w:hAnsi="Arial"/>
          <w:sz w:val="16"/>
          <w:szCs w:val="16"/>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2015 and 2014, no impairment losses have been identified.</w:t>
      </w:r>
    </w:p>
    <w:p>
      <w:pPr>
        <w:spacing w:after="0" w:line="165" w:lineRule="exact"/>
        <w:rPr>
          <w:sz w:val="20"/>
          <w:szCs w:val="20"/>
          <w:color w:val="auto"/>
        </w:rPr>
      </w:pPr>
    </w:p>
    <w:p>
      <w:pPr>
        <w:ind w:left="1520" w:hanging="499"/>
        <w:spacing w:after="0"/>
        <w:tabs>
          <w:tab w:leader="none" w:pos="1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long-term assets: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Other long-term assets mainly include long-term deposits for office lease and motor vehicles under operating leases, presented at their cost.</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jc w:val="both"/>
        <w:ind w:left="1540"/>
        <w:spacing w:after="0" w:line="312" w:lineRule="auto"/>
        <w:rPr>
          <w:rFonts w:ascii="Arial" w:cs="Arial" w:eastAsia="Arial" w:hAnsi="Arial"/>
          <w:sz w:val="18"/>
          <w:szCs w:val="18"/>
          <w:color w:val="auto"/>
        </w:rPr>
      </w:pPr>
      <w:r>
        <w:rPr>
          <w:rFonts w:ascii="Arial" w:cs="Arial" w:eastAsia="Arial" w:hAnsi="Arial"/>
          <w:sz w:val="16"/>
          <w:szCs w:val="16"/>
          <w:color w:val="auto"/>
        </w:rPr>
        <w:t>Research and development expenses are expensed as incurred. Those expenses include payments to third party clinical consultants, expenses related to conducting clinical and pre-clinical trials, salaries and related personnel expenses, travel expenses and share based compensation expenses to research and development employees. During 2015, 2014 and 2013, no grants were received.</w:t>
      </w:r>
    </w:p>
    <w:p>
      <w:pPr>
        <w:spacing w:after="0" w:line="146" w:lineRule="exact"/>
        <w:rPr>
          <w:rFonts w:ascii="Arial" w:cs="Arial" w:eastAsia="Arial" w:hAnsi="Arial"/>
          <w:sz w:val="18"/>
          <w:szCs w:val="18"/>
          <w:color w:val="auto"/>
        </w:rPr>
      </w:pPr>
    </w:p>
    <w:p>
      <w:pPr>
        <w:ind w:left="1520" w:hanging="499"/>
        <w:spacing w:after="0"/>
        <w:tabs>
          <w:tab w:leader="none" w:pos="1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540"/>
        <w:spacing w:after="0" w:line="293" w:lineRule="auto"/>
        <w:rPr>
          <w:rFonts w:ascii="Arial" w:cs="Arial" w:eastAsia="Arial" w:hAnsi="Arial"/>
          <w:sz w:val="18"/>
          <w:szCs w:val="18"/>
          <w:color w:val="auto"/>
        </w:rPr>
      </w:pPr>
      <w:r>
        <w:rPr>
          <w:rFonts w:ascii="Arial" w:cs="Arial" w:eastAsia="Arial" w:hAnsi="Arial"/>
          <w:sz w:val="16"/>
          <w:szCs w:val="16"/>
          <w:color w:val="auto"/>
        </w:rPr>
        <w:t>The Company's liability for its Israeli employees regarding severance pay is pursuant to Section 14 of the Israeli severance pay law ("Section 14"). All the Israeli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64"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Severance pay expense for the years ended December 31, 2015, 2014 and 2013, amounted to $ 130, $ 102 and $ 26, respectively.</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Employee benefit plan:</w:t>
      </w:r>
    </w:p>
    <w:p>
      <w:pPr>
        <w:spacing w:after="0" w:line="225" w:lineRule="exact"/>
        <w:rPr>
          <w:rFonts w:ascii="Arial" w:cs="Arial" w:eastAsia="Arial" w:hAnsi="Arial"/>
          <w:sz w:val="18"/>
          <w:szCs w:val="18"/>
          <w:color w:val="auto"/>
        </w:rPr>
      </w:pPr>
    </w:p>
    <w:p>
      <w:pPr>
        <w:jc w:val="both"/>
        <w:ind w:left="1540"/>
        <w:spacing w:after="0" w:line="302" w:lineRule="auto"/>
        <w:rPr>
          <w:rFonts w:ascii="Arial" w:cs="Arial" w:eastAsia="Arial" w:hAnsi="Arial"/>
          <w:sz w:val="18"/>
          <w:szCs w:val="18"/>
          <w:color w:val="auto"/>
        </w:rPr>
      </w:pPr>
      <w:r>
        <w:rPr>
          <w:rFonts w:ascii="Arial" w:cs="Arial" w:eastAsia="Arial" w:hAnsi="Arial"/>
          <w:sz w:val="16"/>
          <w:szCs w:val="16"/>
          <w:color w:val="auto"/>
        </w:rPr>
        <w:t>Since 2014, the Company’s U.S.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100% of each participant’s contributions up to 3%. Contributions to the U.S. Plan are recorded during the year contributed as an expense in the consolidated statement of operations.</w:t>
      </w:r>
    </w:p>
    <w:p>
      <w:pPr>
        <w:spacing w:after="0" w:line="154"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Total employer 401(k) contributions for the years ended December 31, 2015 and 2014 were $ 21 each year.</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income taxes in accordance with ASC 740, "Income Taxes" ("ASC 740").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88"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8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As of December 31, 2015 and 2014 the Company has not recorded a liability for uncertain tax positions.</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Concentrations of credit risk:</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concentrations of credit risk consist principally of cash, cash equivalents and bank deposits.</w:t>
      </w:r>
    </w:p>
    <w:p>
      <w:pPr>
        <w:spacing w:after="0" w:line="170"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Cash and cash equivalents and short term bank deposits are invested in major banks in Israel. Generally, these deposits may be redeemed upon demand and therefore bear minimal risk.</w:t>
      </w:r>
    </w:p>
    <w:p>
      <w:pPr>
        <w:spacing w:after="0" w:line="170"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no off-balance-sheet concentration of credit risk such as foreign exchange contracts, option contracts or other foreign hedging arrangements.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Company has no financial instruments that are measured at fair value.</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carrying amounts of cash and cash equivalents, short term bank deposits, accounts receivable and accounts payable, approximate their fair value due to the short-term maturities of such instruments.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225" w:lineRule="exact"/>
        <w:rPr>
          <w:rFonts w:ascii="Arial" w:cs="Arial" w:eastAsia="Arial" w:hAnsi="Arial"/>
          <w:sz w:val="18"/>
          <w:szCs w:val="18"/>
          <w:color w:val="auto"/>
        </w:rPr>
      </w:pPr>
    </w:p>
    <w:p>
      <w:pPr>
        <w:jc w:val="both"/>
        <w:ind w:left="1540"/>
        <w:spacing w:after="0" w:line="312" w:lineRule="auto"/>
        <w:rPr>
          <w:rFonts w:ascii="Arial" w:cs="Arial" w:eastAsia="Arial" w:hAnsi="Arial"/>
          <w:sz w:val="18"/>
          <w:szCs w:val="18"/>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46" w:lineRule="exact"/>
        <w:rPr>
          <w:rFonts w:ascii="Arial" w:cs="Arial" w:eastAsia="Arial" w:hAnsi="Arial"/>
          <w:sz w:val="18"/>
          <w:szCs w:val="18"/>
          <w:color w:val="auto"/>
        </w:rPr>
      </w:pPr>
    </w:p>
    <w:p>
      <w:pPr>
        <w:jc w:val="both"/>
        <w:ind w:left="1540" w:right="20"/>
        <w:spacing w:after="0" w:line="264" w:lineRule="auto"/>
        <w:rPr>
          <w:rFonts w:ascii="Arial" w:cs="Arial" w:eastAsia="Arial" w:hAnsi="Arial"/>
          <w:sz w:val="18"/>
          <w:szCs w:val="18"/>
          <w:color w:val="auto"/>
        </w:rPr>
      </w:pPr>
      <w:r>
        <w:rPr>
          <w:rFonts w:ascii="Arial" w:cs="Arial" w:eastAsia="Arial" w:hAnsi="Arial"/>
          <w:sz w:val="18"/>
          <w:szCs w:val="18"/>
          <w:color w:val="auto"/>
        </w:rPr>
        <w:t>The total weighted average number of shares related to the outstanding options and warrants excluded from the calculations of diluted net loss per share, since they would have an anti-dilutive effect, was 1,755,766, 1,053,055 and 873,031 for the years ended December 31, 2015, 2014 and 2013, respectively.</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Accounting for share-based compensation:</w:t>
      </w:r>
    </w:p>
    <w:p>
      <w:pPr>
        <w:spacing w:after="0" w:line="225" w:lineRule="exact"/>
        <w:rPr>
          <w:rFonts w:ascii="Arial" w:cs="Arial" w:eastAsia="Arial" w:hAnsi="Arial"/>
          <w:sz w:val="18"/>
          <w:szCs w:val="18"/>
          <w:color w:val="auto"/>
        </w:rPr>
      </w:pPr>
    </w:p>
    <w:p>
      <w:pPr>
        <w:jc w:val="both"/>
        <w:ind w:left="1540"/>
        <w:spacing w:after="0" w:line="276" w:lineRule="auto"/>
        <w:rPr>
          <w:rFonts w:ascii="Arial" w:cs="Arial" w:eastAsia="Arial" w:hAnsi="Arial"/>
          <w:sz w:val="18"/>
          <w:szCs w:val="18"/>
          <w:color w:val="auto"/>
        </w:rPr>
      </w:pPr>
      <w:r>
        <w:rPr>
          <w:rFonts w:ascii="Arial" w:cs="Arial" w:eastAsia="Arial" w:hAnsi="Arial"/>
          <w:sz w:val="17"/>
          <w:szCs w:val="17"/>
          <w:color w:val="auto"/>
        </w:rPr>
        <w:t>The Company accounts for share-based compensation in accordance with ASC 718, "Compensation - Stock Compensation" ("ASC 718") that requires the measurement and recognition of compensation expense based on estimated fair values for all share-based payment awards made to employees and directors. ASC 718 requires companies to estimate the fair value of equity-based payment awards on the date of grant using an option-pricing model. The value of the option award is recognized as an expense over the requisite service periods in the Company's statements of operations based on the accelerated method.</w:t>
      </w:r>
    </w:p>
    <w:p>
      <w:pPr>
        <w:spacing w:after="0" w:line="172"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Black-Scholes-Merton ("Black-Scholes") option-pricing model as the fair value method for of its share-options awards. The option-pricing model requires a number of assumptions as noted below:</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assumption is based on the Company's historical experience and expectation of no</w:t>
      </w:r>
      <w:r>
        <w:rPr>
          <w:rFonts w:ascii="Arial" w:cs="Arial" w:eastAsia="Arial" w:hAnsi="Arial"/>
          <w:sz w:val="18"/>
          <w:szCs w:val="18"/>
          <w:i w:val="1"/>
          <w:iCs w:val="1"/>
          <w:color w:val="auto"/>
        </w:rPr>
        <w:t xml:space="preserve"> </w:t>
      </w:r>
      <w:r>
        <w:rPr>
          <w:rFonts w:ascii="Arial" w:cs="Arial" w:eastAsia="Arial" w:hAnsi="Arial"/>
          <w:sz w:val="18"/>
          <w:szCs w:val="18"/>
          <w:color w:val="auto"/>
        </w:rPr>
        <w:t>future dividend payouts. The Company has historically not paid cash dividends and has no foreseeable plans to pay cash dividends in the future.</w:t>
      </w:r>
    </w:p>
    <w:p>
      <w:pPr>
        <w:spacing w:after="0" w:line="181"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Since the Company's shares started trading in NASDAQ in May 2013, quoted prices of the Company's share are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two and a half years only. Due to insufficient historical data for the Company, the expected volatility determination was based on a weighted average of the Company and similar companies' stock volatility.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sz w:val="20"/>
          <w:szCs w:val="20"/>
          <w:color w:val="auto"/>
        </w:rPr>
      </w:pPr>
    </w:p>
    <w:p>
      <w:pPr>
        <w:jc w:val="both"/>
        <w:ind w:left="154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for the expected term. Accordingly, the Company used the "simplified" method, meaning the expected life can be set as the average of the vesting period for each vested tranche of options and the contractual term for those options.</w:t>
      </w:r>
    </w:p>
    <w:p>
      <w:pPr>
        <w:spacing w:after="0" w:line="189"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Company used the Black-Scholes option-pricing model to determine the fair value of grants made in 2015, 2014 and 2013. The following assumptions were applied in determining the compensation cost:</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0.9-2.1%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0.8-2.4%</w:t>
            </w:r>
          </w:p>
        </w:tc>
      </w:tr>
      <w:tr>
        <w:trPr>
          <w:trHeight w:val="216"/>
        </w:trPr>
        <w:tc>
          <w:tcPr>
            <w:tcW w:w="3900" w:type="dxa"/>
            <w:vAlign w:val="bottom"/>
          </w:tcPr>
          <w:p>
            <w:pPr>
              <w:ind w:left="60"/>
              <w:spacing w:after="0"/>
              <w:rPr>
                <w:sz w:val="20"/>
                <w:szCs w:val="20"/>
                <w:color w:val="auto"/>
              </w:rPr>
            </w:pPr>
            <w:r>
              <w:rPr>
                <w:rFonts w:ascii="Arial" w:cs="Arial" w:eastAsia="Arial" w:hAnsi="Arial"/>
                <w:sz w:val="18"/>
                <w:szCs w:val="18"/>
                <w:color w:val="auto"/>
              </w:rPr>
              <w:t>Expected option term (years)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5.3-10</w:t>
            </w:r>
          </w:p>
        </w:tc>
      </w:tr>
      <w:tr>
        <w:trPr>
          <w:trHeight w:val="216"/>
        </w:trPr>
        <w:tc>
          <w:tcPr>
            <w:tcW w:w="3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Expected price volatility</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69-88%</w:t>
            </w:r>
          </w:p>
        </w:tc>
      </w:tr>
      <w:tr>
        <w:trPr>
          <w:trHeight w:val="216"/>
        </w:trPr>
        <w:tc>
          <w:tcPr>
            <w:tcW w:w="3900" w:type="dxa"/>
            <w:vAlign w:val="bottom"/>
          </w:tcPr>
          <w:p>
            <w:pPr>
              <w:ind w:left="60"/>
              <w:spacing w:after="0"/>
              <w:rPr>
                <w:sz w:val="20"/>
                <w:szCs w:val="20"/>
                <w:color w:val="auto"/>
              </w:rPr>
            </w:pPr>
            <w:r>
              <w:rPr>
                <w:rFonts w:ascii="Arial" w:cs="Arial" w:eastAsia="Arial" w:hAnsi="Arial"/>
                <w:sz w:val="18"/>
                <w:szCs w:val="18"/>
                <w:color w:val="auto"/>
              </w:rPr>
              <w:t>Dividend yield</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Weighted average grant date fair value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w:t>
            </w:r>
          </w:p>
        </w:tc>
      </w:tr>
    </w:tbl>
    <w:p>
      <w:pPr>
        <w:spacing w:after="0" w:line="202" w:lineRule="exact"/>
        <w:rPr>
          <w:sz w:val="20"/>
          <w:szCs w:val="20"/>
          <w:color w:val="auto"/>
        </w:rPr>
      </w:pPr>
    </w:p>
    <w:p>
      <w:pPr>
        <w:ind w:left="1520" w:hanging="499"/>
        <w:spacing w:after="0"/>
        <w:tabs>
          <w:tab w:leader="none" w:pos="1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225" w:lineRule="exact"/>
        <w:rPr>
          <w:rFonts w:ascii="Arial" w:cs="Arial" w:eastAsia="Arial" w:hAnsi="Arial"/>
          <w:sz w:val="18"/>
          <w:szCs w:val="18"/>
          <w:color w:val="auto"/>
        </w:rPr>
      </w:pPr>
    </w:p>
    <w:p>
      <w:pPr>
        <w:jc w:val="both"/>
        <w:ind w:left="1540"/>
        <w:spacing w:after="0" w:line="293" w:lineRule="auto"/>
        <w:rPr>
          <w:rFonts w:ascii="Arial" w:cs="Arial" w:eastAsia="Arial" w:hAnsi="Arial"/>
          <w:sz w:val="18"/>
          <w:szCs w:val="18"/>
          <w:color w:val="auto"/>
        </w:rPr>
      </w:pPr>
      <w:r>
        <w:rPr>
          <w:rFonts w:ascii="Arial" w:cs="Arial" w:eastAsia="Arial" w:hAnsi="Arial"/>
          <w:sz w:val="16"/>
          <w:szCs w:val="16"/>
          <w:color w:val="auto"/>
        </w:rPr>
        <w:t>In August 2014, the Financial Accounting Standards Board (“FASB”) issued Accounting Standards Update (“ASU”) 2014-15, Presentation of Financial Statements-Going Concern (Subtopic 205-40): Disclosure of Uncertainties about an Entity's Ability to Continue as a Going Concern. ASU 2014-15 defines management’s responsibility to assess an entity’s ability to continue as a going concern and to provide related footnote disclosures if there is substantial doubt about its ability to continue as a going concern. The pronouncement is effective for annual reporting periods ending after December 15, 2016 with early adoption permitted. The Company is currently evaluating the effect, if any, that the adoption of this guidance will have on the Company’s financial statements.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NOTE 3:-   PREPAID EXPENSES AND OTHER RECEIVABLES</w:t>
            </w:r>
          </w:p>
        </w:tc>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Government authorities</w:t>
            </w:r>
          </w:p>
        </w:tc>
        <w:tc>
          <w:tcPr>
            <w:tcW w:w="3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current assets</w:t>
            </w:r>
          </w:p>
        </w:tc>
        <w:tc>
          <w:tcPr>
            <w:tcW w:w="2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3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1,666</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2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80" w:type="dxa"/>
            <w:vAlign w:val="bottom"/>
            <w:gridSpan w:val="2"/>
            <w:vMerge w:val="continue"/>
          </w:tcPr>
          <w:p>
            <w:pPr>
              <w:spacing w:after="0"/>
              <w:rPr>
                <w:sz w:val="24"/>
                <w:szCs w:val="24"/>
                <w:color w:val="auto"/>
              </w:rPr>
            </w:pP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Borders>
              <w:bottom w:val="single" w:sz="8" w:color="CCEEFF"/>
            </w:tcBorders>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2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Computers and electronic equipment</w:t>
            </w:r>
          </w:p>
        </w:tc>
        <w:tc>
          <w:tcPr>
            <w:tcW w:w="3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 furniture and equipment</w:t>
            </w:r>
          </w:p>
        </w:tc>
        <w:tc>
          <w:tcPr>
            <w:tcW w:w="2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Clinical and medical equipment</w:t>
            </w:r>
          </w:p>
        </w:tc>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w:t>
            </w:r>
          </w:p>
        </w:tc>
        <w:tc>
          <w:tcPr>
            <w:tcW w:w="28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Computers and electronic equipment</w:t>
            </w:r>
          </w:p>
        </w:tc>
        <w:tc>
          <w:tcPr>
            <w:tcW w:w="2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Clinical and medical equipment</w:t>
            </w:r>
          </w:p>
        </w:tc>
        <w:tc>
          <w:tcPr>
            <w:tcW w:w="2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Leasehold improvement</w:t>
            </w:r>
          </w:p>
        </w:tc>
        <w:tc>
          <w:tcPr>
            <w:tcW w:w="2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Depreciated cost</w:t>
            </w:r>
          </w:p>
        </w:tc>
        <w:tc>
          <w:tcPr>
            <w:tcW w:w="3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80" w:type="dxa"/>
            <w:vAlign w:val="bottom"/>
            <w:gridSpan w:val="3"/>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80" w:type="dxa"/>
            <w:vAlign w:val="bottom"/>
            <w:gridSpan w:val="5"/>
          </w:tcPr>
          <w:p>
            <w:pPr>
              <w:jc w:val="right"/>
              <w:spacing w:after="0"/>
              <w:rPr>
                <w:sz w:val="20"/>
                <w:szCs w:val="20"/>
                <w:color w:val="auto"/>
              </w:rPr>
            </w:pPr>
            <w:r>
              <w:rPr>
                <w:rFonts w:ascii="Arial" w:cs="Arial" w:eastAsia="Arial" w:hAnsi="Arial"/>
                <w:sz w:val="18"/>
                <w:szCs w:val="18"/>
                <w:color w:val="auto"/>
                <w:w w:val="99"/>
              </w:rPr>
              <w:t>Depreciation expenses for the years ended December 31, 2015, 2014 and 2013, were $ 51, $ 31 and $ 9, respectively.</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NOTE 5:-   ACCRUED EXPENSES AND OTHER LIABILITIES</w:t>
            </w: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Employees and payroll accruals</w:t>
            </w:r>
          </w:p>
        </w:tc>
        <w:tc>
          <w:tcPr>
            <w:tcW w:w="3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Government authorities</w:t>
            </w:r>
          </w:p>
        </w:tc>
        <w:tc>
          <w:tcPr>
            <w:tcW w:w="2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liability</w:t>
            </w:r>
          </w:p>
        </w:tc>
        <w:tc>
          <w:tcPr>
            <w:tcW w:w="2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3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2,295</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2,070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jc w:val="right"/>
              <w:ind w:right="2560"/>
              <w:spacing w:after="0"/>
              <w:rPr>
                <w:sz w:val="20"/>
                <w:szCs w:val="20"/>
                <w:color w:val="auto"/>
              </w:rPr>
            </w:pPr>
            <w:r>
              <w:rPr>
                <w:rFonts w:ascii="Arial" w:cs="Arial" w:eastAsia="Arial" w:hAnsi="Arial"/>
                <w:sz w:val="18"/>
                <w:szCs w:val="18"/>
                <w:color w:val="auto"/>
              </w:rPr>
              <w:t>F-13</w:t>
            </w: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tab/>
        <w:t>CONVERTIBLE NOTES</w:t>
      </w:r>
    </w:p>
    <w:p>
      <w:pPr>
        <w:spacing w:after="0" w:line="229" w:lineRule="exact"/>
        <w:rPr>
          <w:sz w:val="20"/>
          <w:szCs w:val="20"/>
          <w:color w:val="auto"/>
        </w:rPr>
      </w:pPr>
    </w:p>
    <w:p>
      <w:pPr>
        <w:jc w:val="both"/>
        <w:ind w:left="1140"/>
        <w:spacing w:after="0" w:line="277" w:lineRule="auto"/>
        <w:rPr>
          <w:sz w:val="20"/>
          <w:szCs w:val="20"/>
          <w:color w:val="auto"/>
        </w:rPr>
      </w:pPr>
      <w:r>
        <w:rPr>
          <w:rFonts w:ascii="Arial" w:cs="Arial" w:eastAsia="Arial" w:hAnsi="Arial"/>
          <w:sz w:val="18"/>
          <w:szCs w:val="18"/>
          <w:color w:val="auto"/>
        </w:rPr>
        <w:t>During 2012 and 2013, the Company issued convertible promissory notes to certain investors for a total amount of $ 715. The convertible notes bore an annual interest rate of 6%.</w:t>
      </w:r>
    </w:p>
    <w:p>
      <w:pPr>
        <w:spacing w:after="0" w:line="170" w:lineRule="exact"/>
        <w:rPr>
          <w:sz w:val="20"/>
          <w:szCs w:val="20"/>
          <w:color w:val="auto"/>
        </w:rPr>
      </w:pPr>
    </w:p>
    <w:p>
      <w:pPr>
        <w:jc w:val="both"/>
        <w:ind w:left="1140"/>
        <w:spacing w:after="0" w:line="259" w:lineRule="auto"/>
        <w:rPr>
          <w:sz w:val="20"/>
          <w:szCs w:val="20"/>
          <w:color w:val="auto"/>
        </w:rPr>
      </w:pPr>
      <w:r>
        <w:rPr>
          <w:rFonts w:ascii="Arial" w:cs="Arial" w:eastAsia="Arial" w:hAnsi="Arial"/>
          <w:sz w:val="18"/>
          <w:szCs w:val="18"/>
          <w:color w:val="auto"/>
        </w:rPr>
        <w:t>In connection with the Company's Initial Public Offering ("IPO"), in May 2013, according to the terms of the convertible notes, in May 2013 the notes were automatically converted into 123,553 ordinary shares of the Company. Upon conversion of the convertible notes, the entire redemption amount was derecognized against additional paid in capital in the amount of $ 980. The financial expenses for the year ended December 31, 2013, amounted to $ 203.</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tab/>
        <w:t>INCOME TAXES</w:t>
      </w:r>
    </w:p>
    <w:p>
      <w:pPr>
        <w:spacing w:after="0" w:line="229" w:lineRule="exact"/>
        <w:rPr>
          <w:sz w:val="20"/>
          <w:szCs w:val="20"/>
          <w:color w:val="auto"/>
        </w:rPr>
      </w:pPr>
    </w:p>
    <w:p>
      <w:pPr>
        <w:ind w:left="1520" w:hanging="499"/>
        <w:spacing w:after="0"/>
        <w:tabs>
          <w:tab w:leader="none" w:pos="1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Tax laws applicable to Alcobra Ltd. and the Subsidiary:</w:t>
      </w:r>
    </w:p>
    <w:p>
      <w:pPr>
        <w:spacing w:after="0" w:line="225" w:lineRule="exact"/>
        <w:rPr>
          <w:rFonts w:ascii="Arial" w:cs="Arial" w:eastAsia="Arial" w:hAnsi="Arial"/>
          <w:sz w:val="18"/>
          <w:szCs w:val="18"/>
          <w:color w:val="auto"/>
        </w:rPr>
      </w:pPr>
    </w:p>
    <w:p>
      <w:pPr>
        <w:ind w:left="2040" w:hanging="519"/>
        <w:spacing w:after="0"/>
        <w:tabs>
          <w:tab w:leader="none" w:pos="20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Alcobra Ltd. is taxed under the Israeli income tax law.</w:t>
      </w:r>
    </w:p>
    <w:p>
      <w:pPr>
        <w:spacing w:after="0" w:line="225"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7"/>
          <w:szCs w:val="17"/>
          <w:color w:val="auto"/>
        </w:rPr>
        <w:t>Taxable income of Israeli companies is subject to tax at the rate of 25% in 2013 and a rate of 26.5% in 2014 and in 2015.</w:t>
      </w:r>
    </w:p>
    <w:p>
      <w:pPr>
        <w:spacing w:after="0" w:line="236" w:lineRule="exact"/>
        <w:rPr>
          <w:rFonts w:ascii="Arial" w:cs="Arial" w:eastAsia="Arial" w:hAnsi="Arial"/>
          <w:sz w:val="18"/>
          <w:szCs w:val="18"/>
          <w:color w:val="auto"/>
        </w:rPr>
      </w:pPr>
    </w:p>
    <w:p>
      <w:pPr>
        <w:jc w:val="both"/>
        <w:ind w:left="2040"/>
        <w:spacing w:after="0" w:line="264" w:lineRule="auto"/>
        <w:rPr>
          <w:rFonts w:ascii="Arial" w:cs="Arial" w:eastAsia="Arial" w:hAnsi="Arial"/>
          <w:sz w:val="18"/>
          <w:szCs w:val="18"/>
          <w:color w:val="auto"/>
        </w:rPr>
      </w:pPr>
      <w:r>
        <w:rPr>
          <w:rFonts w:ascii="Arial" w:cs="Arial" w:eastAsia="Arial" w:hAnsi="Arial"/>
          <w:sz w:val="18"/>
          <w:szCs w:val="18"/>
          <w:color w:val="auto"/>
        </w:rPr>
        <w:t>On January 4, 2016, the Israeli Parliament's Plenum approved by a second and third reading the Bill for Amending the Income Tax Ordinance (No. 217) (Reduction of Corporate Tax Rate), 2015, which consists of the reduction of the corporate tax rate from 26.5% to 25%, starting January 1, 2016.</w:t>
      </w:r>
    </w:p>
    <w:p>
      <w:pPr>
        <w:spacing w:after="0" w:line="181" w:lineRule="exact"/>
        <w:rPr>
          <w:rFonts w:ascii="Arial" w:cs="Arial" w:eastAsia="Arial" w:hAnsi="Arial"/>
          <w:sz w:val="18"/>
          <w:szCs w:val="18"/>
          <w:color w:val="auto"/>
        </w:rPr>
      </w:pPr>
    </w:p>
    <w:p>
      <w:pPr>
        <w:jc w:val="both"/>
        <w:ind w:left="2040" w:hanging="519"/>
        <w:spacing w:after="0" w:line="264" w:lineRule="auto"/>
        <w:tabs>
          <w:tab w:leader="none" w:pos="20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Subsidiary is taxed under U.S. tax law. The federal tax rates applicable to the Company whose place of incorporation is within the United States. are corporate (progressive) tax at the rate of up to 35%, excluding state tax, which rates depend on the state in which the Subsidiary conducts its business.</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Net operating losses carry forward:</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Alcobra Ltd. has accumulated losses for tax purposes in Israel as of December 31, 2015 in the amount of approximately $ 48,000 which may be carried forward and offset against taxable income in the future for an indefinite period.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INCOME TAXES (Cont.)</w:t>
      </w:r>
    </w:p>
    <w:p>
      <w:pPr>
        <w:spacing w:after="0" w:line="229" w:lineRule="exact"/>
        <w:rPr>
          <w:sz w:val="20"/>
          <w:szCs w:val="20"/>
          <w:color w:val="auto"/>
        </w:rPr>
      </w:pPr>
    </w:p>
    <w:p>
      <w:pPr>
        <w:ind w:left="1520" w:hanging="499"/>
        <w:spacing w:after="0"/>
        <w:tabs>
          <w:tab w:leader="none" w:pos="1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91"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r>
      <w:tr>
        <w:trPr>
          <w:trHeight w:val="210"/>
        </w:trPr>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carry forward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7,595</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Reserves and allowances</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4,688</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5,073</w:t>
            </w:r>
          </w:p>
        </w:tc>
      </w:tr>
      <w:tr>
        <w:trPr>
          <w:trHeight w:val="210"/>
        </w:trPr>
        <w:tc>
          <w:tcPr>
            <w:tcW w:w="6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Deferred tax assets before valuation allowance</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17,479</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12,668</w:t>
            </w:r>
          </w:p>
        </w:tc>
      </w:tr>
      <w:tr>
        <w:trPr>
          <w:trHeight w:val="23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(17,479)</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(12,668)</w:t>
            </w:r>
          </w:p>
        </w:tc>
      </w:tr>
      <w:tr>
        <w:trPr>
          <w:trHeight w:val="210"/>
        </w:trPr>
        <w:tc>
          <w:tcPr>
            <w:tcW w:w="6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540"/>
        <w:spacing w:after="0" w:line="342" w:lineRule="auto"/>
        <w:rPr>
          <w:sz w:val="20"/>
          <w:szCs w:val="20"/>
          <w:color w:val="auto"/>
        </w:rPr>
      </w:pPr>
      <w:r>
        <w:rPr>
          <w:rFonts w:ascii="Arial" w:cs="Arial" w:eastAsia="Arial" w:hAnsi="Arial"/>
          <w:sz w:val="16"/>
          <w:szCs w:val="16"/>
          <w:color w:val="auto"/>
        </w:rPr>
        <w:t>All deferred taxes are domestic. Management currently believes that since the Company has a history of losses it is more likely than not that the deferred tax regarding the loss carry forward and other temporary differences will not be realized in the foreseeable future.</w:t>
      </w:r>
    </w:p>
    <w:p>
      <w:pPr>
        <w:spacing w:after="0" w:line="124" w:lineRule="exact"/>
        <w:rPr>
          <w:sz w:val="20"/>
          <w:szCs w:val="20"/>
          <w:color w:val="auto"/>
        </w:rPr>
      </w:pPr>
    </w:p>
    <w:p>
      <w:pPr>
        <w:ind w:left="1520" w:hanging="499"/>
        <w:spacing w:after="0"/>
        <w:tabs>
          <w:tab w:leader="none" w:pos="1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liability for uncertain tax positions was recorded as of December 31, 2015 and 2014.</w:t>
      </w:r>
    </w:p>
    <w:p>
      <w:pPr>
        <w:spacing w:after="0" w:line="225"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main reconciling item between the statutory tax rate of the Company and the effective tax rate is the recognition of valuation allowances in respect of deferred taxes due to the uncertainty of the realization of such deferred taxes.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Net loss before taxes is comprised as follows:</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r>
      <w:tr>
        <w:trPr>
          <w:trHeight w:val="210"/>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 (Israel)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19,003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31,154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80" w:type="dxa"/>
            <w:vAlign w:val="bottom"/>
            <w:shd w:val="clear" w:color="auto" w:fill="CCEEFF"/>
          </w:tcPr>
          <w:p>
            <w:pPr>
              <w:spacing w:after="0"/>
              <w:rPr>
                <w:sz w:val="18"/>
                <w:szCs w:val="18"/>
                <w:color w:val="auto"/>
              </w:rPr>
            </w:pPr>
          </w:p>
        </w:tc>
      </w:tr>
      <w:tr>
        <w:trPr>
          <w:trHeight w:val="230"/>
        </w:trPr>
        <w:tc>
          <w:tcPr>
            <w:tcW w:w="5120" w:type="dxa"/>
            <w:vAlign w:val="bottom"/>
          </w:tcPr>
          <w:p>
            <w:pPr>
              <w:ind w:left="40"/>
              <w:spacing w:after="0"/>
              <w:rPr>
                <w:sz w:val="20"/>
                <w:szCs w:val="20"/>
                <w:color w:val="auto"/>
              </w:rPr>
            </w:pPr>
            <w:r>
              <w:rPr>
                <w:rFonts w:ascii="Arial" w:cs="Arial" w:eastAsia="Arial" w:hAnsi="Arial"/>
                <w:sz w:val="18"/>
                <w:szCs w:val="18"/>
                <w:color w:val="auto"/>
              </w:rPr>
              <w:t>Foreign (U.S.)</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1,697</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0"/>
        </w:trPr>
        <w:tc>
          <w:tcPr>
            <w:tcW w:w="5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512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19,398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32,851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10,487</w:t>
            </w:r>
          </w:p>
        </w:tc>
        <w:tc>
          <w:tcPr>
            <w:tcW w:w="80" w:type="dxa"/>
            <w:vAlign w:val="bottom"/>
          </w:tcPr>
          <w:p>
            <w:pPr>
              <w:spacing w:after="0"/>
              <w:rPr>
                <w:sz w:val="21"/>
                <w:szCs w:val="2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Taxes on income relate solely to the foreign Subsidiary.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0" w:lineRule="exact"/>
        <w:rPr>
          <w:sz w:val="20"/>
          <w:szCs w:val="20"/>
          <w:color w:val="auto"/>
        </w:rPr>
      </w:pPr>
    </w:p>
    <w:p>
      <w:pPr>
        <w:spacing w:after="0" w:line="24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8:-</w:t>
        <w:tab/>
        <w:t>CONTINGENT LIABILITIES AND COMMITMENTS</w:t>
      </w:r>
    </w:p>
    <w:p>
      <w:pPr>
        <w:spacing w:after="0" w:line="229" w:lineRule="exact"/>
        <w:rPr>
          <w:sz w:val="20"/>
          <w:szCs w:val="20"/>
          <w:color w:val="auto"/>
        </w:rPr>
      </w:pPr>
    </w:p>
    <w:p>
      <w:pPr>
        <w:ind w:left="1520" w:hanging="499"/>
        <w:spacing w:after="0"/>
        <w:tabs>
          <w:tab w:leader="none" w:pos="1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25" w:lineRule="exact"/>
        <w:rPr>
          <w:rFonts w:ascii="Arial" w:cs="Arial" w:eastAsia="Arial" w:hAnsi="Arial"/>
          <w:sz w:val="18"/>
          <w:szCs w:val="18"/>
          <w:color w:val="auto"/>
        </w:rPr>
      </w:pPr>
    </w:p>
    <w:p>
      <w:pPr>
        <w:jc w:val="both"/>
        <w:ind w:left="1520"/>
        <w:spacing w:after="0" w:line="268" w:lineRule="auto"/>
        <w:rPr>
          <w:rFonts w:ascii="Arial" w:cs="Arial" w:eastAsia="Arial" w:hAnsi="Arial"/>
          <w:sz w:val="18"/>
          <w:szCs w:val="18"/>
          <w:color w:val="auto"/>
        </w:rPr>
      </w:pPr>
      <w:r>
        <w:rPr>
          <w:rFonts w:ascii="Arial" w:cs="Arial" w:eastAsia="Arial" w:hAnsi="Arial"/>
          <w:sz w:val="17"/>
          <w:szCs w:val="17"/>
          <w:color w:val="auto"/>
        </w:rPr>
        <w:t>On November 19, 2014, a class action lawsuit was filed against the Company and certain of its current and former officers and directors in the United States District Court for the Southern District of New York. The case was filed on behalf of a putative class of investors who purchased or acquired the Company's publicly traded securities between March 28, 2014 and November 14, 2014. The complaint asserted violations of Sections 10(b) and 20(a) of the Securities Exchange Act of 1934 and Rule 10b-5 thereunder. The complaint alleged, among other things, that the Company's officers and directors made false or misleading statements relating to the results of the Phase III study for its MDX drug candidate. The complaint sought an unspecified amount of damages, as well as other forms of relief. On December 16, 2014, another class action lawsuit was filed against the Company and certain of its current and former officers and directors in the United States District Court for the Southern District of New York. This complaint is largely identical to the earlier complaint and purports to bring the same claims on behalf of the same putative class. On December 23, 2014, the first plaintiff in the first action moved to voluntarily dismiss his case, which motion was granted on December 30, 2014. On February 9, 2015, the court appointed a group of investors to act as lead plaintiff for the second action. On May 20, 2015, the defendants moved to dismiss the complaint. The motion to dismiss has been fully briefed and oral argument occurred on September 22, 2015. At this preliminary stage the Company cannot assess the exposure under such complaint.</w:t>
      </w:r>
    </w:p>
    <w:p>
      <w:pPr>
        <w:spacing w:after="0" w:line="187" w:lineRule="exact"/>
        <w:rPr>
          <w:rFonts w:ascii="Arial" w:cs="Arial" w:eastAsia="Arial" w:hAnsi="Arial"/>
          <w:sz w:val="18"/>
          <w:szCs w:val="18"/>
          <w:color w:val="auto"/>
        </w:rPr>
      </w:pPr>
    </w:p>
    <w:p>
      <w:pPr>
        <w:ind w:left="1520" w:hanging="499"/>
        <w:spacing w:after="0"/>
        <w:tabs>
          <w:tab w:leader="none" w:pos="1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Facilities of the Company are rented under operating lease agreements, which expire on various dates, the latest of which is in 2018. The Company recognizes rent expense under such arrangements on a straight-line basis.</w:t>
      </w:r>
    </w:p>
    <w:p>
      <w:pPr>
        <w:spacing w:after="0" w:line="170"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 June 2013 the Company entered into a new operating lease agreement for its vehicles until 2016.</w:t>
      </w:r>
    </w:p>
    <w:p>
      <w:pPr>
        <w:spacing w:after="0" w:line="225" w:lineRule="exact"/>
        <w:rPr>
          <w:rFonts w:ascii="Arial" w:cs="Arial" w:eastAsia="Arial" w:hAnsi="Arial"/>
          <w:sz w:val="18"/>
          <w:szCs w:val="18"/>
          <w:color w:val="auto"/>
        </w:rPr>
      </w:pPr>
    </w:p>
    <w:p>
      <w:pPr>
        <w:ind w:left="1520"/>
        <w:spacing w:after="0" w:line="277" w:lineRule="auto"/>
        <w:rPr>
          <w:rFonts w:ascii="Arial" w:cs="Arial" w:eastAsia="Arial" w:hAnsi="Arial"/>
          <w:sz w:val="18"/>
          <w:szCs w:val="18"/>
          <w:color w:val="auto"/>
        </w:rPr>
      </w:pPr>
      <w:r>
        <w:rPr>
          <w:rFonts w:ascii="Arial" w:cs="Arial" w:eastAsia="Arial" w:hAnsi="Arial"/>
          <w:sz w:val="18"/>
          <w:szCs w:val="18"/>
          <w:color w:val="auto"/>
        </w:rPr>
        <w:t>Aggregate minimum lease commitments, net of sub-lease proceeds in the amount of $ 22, under non-cancelable operating leases as of December 31, 2015,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Minimum</w:t>
            </w:r>
          </w:p>
        </w:tc>
        <w:tc>
          <w:tcPr>
            <w:tcW w:w="1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Minimum</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Facilities</w:t>
            </w:r>
          </w:p>
        </w:tc>
        <w:tc>
          <w:tcPr>
            <w:tcW w:w="1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Vehicles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Lease</w:t>
            </w:r>
          </w:p>
        </w:tc>
        <w:tc>
          <w:tcPr>
            <w:tcW w:w="1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Lease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Payments</w:t>
            </w:r>
          </w:p>
        </w:tc>
        <w:tc>
          <w:tcPr>
            <w:tcW w:w="18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Payments</w:t>
            </w:r>
          </w:p>
        </w:tc>
        <w:tc>
          <w:tcPr>
            <w:tcW w:w="2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20"/>
                <w:szCs w:val="20"/>
                <w:color w:val="auto"/>
              </w:rPr>
            </w:pPr>
          </w:p>
        </w:tc>
      </w:tr>
      <w:tr>
        <w:trPr>
          <w:trHeight w:val="210"/>
        </w:trPr>
        <w:tc>
          <w:tcPr>
            <w:tcW w:w="154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w:t>
            </w:r>
          </w:p>
        </w:tc>
        <w:tc>
          <w:tcPr>
            <w:tcW w:w="7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2017</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396</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396</w:t>
            </w:r>
          </w:p>
        </w:tc>
        <w:tc>
          <w:tcPr>
            <w:tcW w:w="760" w:type="dxa"/>
            <w:vAlign w:val="bottom"/>
          </w:tcPr>
          <w:p>
            <w:pPr>
              <w:spacing w:after="0"/>
              <w:rPr>
                <w:sz w:val="18"/>
                <w:szCs w:val="18"/>
                <w:color w:val="auto"/>
              </w:rPr>
            </w:pPr>
          </w:p>
        </w:tc>
      </w:tr>
      <w:tr>
        <w:trPr>
          <w:trHeight w:val="230"/>
        </w:trPr>
        <w:tc>
          <w:tcPr>
            <w:tcW w:w="154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c>
          <w:tcPr>
            <w:tcW w:w="760" w:type="dxa"/>
            <w:vAlign w:val="bottom"/>
          </w:tcPr>
          <w:p>
            <w:pPr>
              <w:spacing w:after="0"/>
              <w:rPr>
                <w:sz w:val="19"/>
                <w:szCs w:val="19"/>
                <w:color w:val="auto"/>
              </w:rPr>
            </w:pPr>
          </w:p>
        </w:tc>
      </w:tr>
      <w:tr>
        <w:trPr>
          <w:trHeight w:val="210"/>
        </w:trPr>
        <w:tc>
          <w:tcPr>
            <w:tcW w:w="1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3"/>
        </w:trPr>
        <w:tc>
          <w:tcPr>
            <w:tcW w:w="1540" w:type="dxa"/>
            <w:vAlign w:val="bottom"/>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2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w:t>
            </w:r>
          </w:p>
        </w:tc>
        <w:tc>
          <w:tcPr>
            <w:tcW w:w="760" w:type="dxa"/>
            <w:vAlign w:val="bottom"/>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29"/>
        </w:trPr>
        <w:tc>
          <w:tcPr>
            <w:tcW w:w="1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8"/>
                <w:szCs w:val="18"/>
                <w:color w:val="auto"/>
              </w:rPr>
              <w:t>F-16</w:t>
            </w: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6" w:name="page97"/>
    <w:bookmarkEnd w:id="96"/>
    <w:p>
      <w:pPr>
        <w:ind w:left="8160"/>
        <w:spacing w:after="0"/>
        <w:rPr>
          <w:sz w:val="20"/>
          <w:szCs w:val="20"/>
          <w:color w:val="auto"/>
        </w:rPr>
      </w:pPr>
      <w:r>
        <w:rPr>
          <w:rFonts w:ascii="Arial" w:cs="Arial" w:eastAsia="Arial" w:hAnsi="Arial"/>
          <w:sz w:val="17"/>
          <w:szCs w:val="17"/>
          <w:b w:val="1"/>
          <w:bCs w:val="1"/>
          <w:color w:val="auto"/>
        </w:rPr>
        <w:t>ALCOBRA LTD. AND ITS SUBSIDIARY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8:-</w:t>
        <w:tab/>
        <w:t>CONTINGENT LIABILITIES AND COMMITMENTS (Cont.)</w:t>
      </w:r>
    </w:p>
    <w:p>
      <w:pPr>
        <w:spacing w:after="0" w:line="229" w:lineRule="exact"/>
        <w:rPr>
          <w:sz w:val="20"/>
          <w:szCs w:val="20"/>
          <w:color w:val="auto"/>
        </w:rPr>
      </w:pPr>
    </w:p>
    <w:p>
      <w:pPr>
        <w:jc w:val="both"/>
        <w:ind w:left="1520"/>
        <w:spacing w:after="0" w:line="277" w:lineRule="auto"/>
        <w:rPr>
          <w:sz w:val="20"/>
          <w:szCs w:val="20"/>
          <w:color w:val="auto"/>
        </w:rPr>
      </w:pPr>
      <w:r>
        <w:rPr>
          <w:rFonts w:ascii="Arial" w:cs="Arial" w:eastAsia="Arial" w:hAnsi="Arial"/>
          <w:sz w:val="18"/>
          <w:szCs w:val="18"/>
          <w:color w:val="auto"/>
        </w:rPr>
        <w:t>Facilities rent expense, not including sublease income, was $ 498, $ 179 and $ 63 for the years ended December 31, 2015, 2014 and 2013, respectively. Sublease rental income for the year ended December 31, 2015 was $ 17.</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The vehicle rent expenses for the years ended December 31, 2015, 2014 and 2013, amounted to $ 110, $ 67 and $ 51, respectively.</w:t>
      </w:r>
    </w:p>
    <w:p>
      <w:pPr>
        <w:spacing w:after="0" w:line="248" w:lineRule="exact"/>
        <w:rPr>
          <w:sz w:val="20"/>
          <w:szCs w:val="20"/>
          <w:color w:val="auto"/>
        </w:rPr>
      </w:pPr>
    </w:p>
    <w:p>
      <w:pPr>
        <w:jc w:val="both"/>
        <w:ind w:left="1520"/>
        <w:spacing w:after="0" w:line="286" w:lineRule="auto"/>
        <w:rPr>
          <w:sz w:val="20"/>
          <w:szCs w:val="20"/>
          <w:color w:val="auto"/>
        </w:rPr>
      </w:pPr>
      <w:r>
        <w:rPr>
          <w:rFonts w:ascii="Arial" w:cs="Arial" w:eastAsia="Arial" w:hAnsi="Arial"/>
          <w:sz w:val="17"/>
          <w:szCs w:val="17"/>
          <w:color w:val="auto"/>
        </w:rPr>
        <w:t>In August 2015, the Company moved its headquarters to new offices. The previous lease agreement for the headquarters office will be terminated in April 2017 and the Company is currently seeking for a sublease for the period until the end of the lease agreement. As of December 31, 2015 the Company recognized a loss of $ 71, net in respect with this onerous contract.</w:t>
      </w:r>
    </w:p>
    <w:p>
      <w:pPr>
        <w:spacing w:after="0" w:line="166" w:lineRule="exact"/>
        <w:rPr>
          <w:sz w:val="20"/>
          <w:szCs w:val="20"/>
          <w:color w:val="auto"/>
        </w:rPr>
      </w:pPr>
    </w:p>
    <w:p>
      <w:pPr>
        <w:ind w:left="1520" w:hanging="499"/>
        <w:spacing w:after="0"/>
        <w:tabs>
          <w:tab w:leader="none" w:pos="1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ind w:left="1520"/>
        <w:spacing w:after="0" w:line="277"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70" w:lineRule="exact"/>
        <w:rPr>
          <w:rFonts w:ascii="Arial" w:cs="Arial" w:eastAsia="Arial" w:hAnsi="Arial"/>
          <w:sz w:val="18"/>
          <w:szCs w:val="18"/>
          <w:color w:val="auto"/>
        </w:rPr>
      </w:pPr>
    </w:p>
    <w:p>
      <w:pPr>
        <w:jc w:val="both"/>
        <w:ind w:left="1520"/>
        <w:spacing w:after="0" w:line="297" w:lineRule="auto"/>
        <w:rPr>
          <w:rFonts w:ascii="Arial" w:cs="Arial" w:eastAsia="Arial" w:hAnsi="Arial"/>
          <w:sz w:val="18"/>
          <w:szCs w:val="18"/>
          <w:color w:val="auto"/>
        </w:rPr>
      </w:pPr>
      <w:r>
        <w:rPr>
          <w:rFonts w:ascii="Arial" w:cs="Arial" w:eastAsia="Arial" w:hAnsi="Arial"/>
          <w:sz w:val="16"/>
          <w:szCs w:val="16"/>
          <w:color w:val="auto"/>
        </w:rPr>
        <w:t>In connection with the participation payments received from the OCS in previous years,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$ 119 as of December 31, 2015. In addition, the OCS may impose certain conditions on any arrangement under which it permits the Company to transfer technology or development out of Israel.</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w:t>
      </w:r>
    </w:p>
    <w:p>
      <w:pPr>
        <w:spacing w:after="0" w:line="229" w:lineRule="exact"/>
        <w:rPr>
          <w:sz w:val="20"/>
          <w:szCs w:val="20"/>
          <w:color w:val="auto"/>
        </w:rPr>
      </w:pPr>
    </w:p>
    <w:p>
      <w:pPr>
        <w:ind w:left="1520" w:hanging="499"/>
        <w:spacing w:after="0"/>
        <w:tabs>
          <w:tab w:leader="none" w:pos="1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Issuances of shares:</w:t>
      </w:r>
    </w:p>
    <w:p>
      <w:pPr>
        <w:spacing w:after="0" w:line="225" w:lineRule="exact"/>
        <w:rPr>
          <w:rFonts w:ascii="Arial" w:cs="Arial" w:eastAsia="Arial" w:hAnsi="Arial"/>
          <w:sz w:val="18"/>
          <w:szCs w:val="18"/>
          <w:color w:val="auto"/>
        </w:rPr>
      </w:pPr>
    </w:p>
    <w:p>
      <w:pPr>
        <w:ind w:left="1800" w:hanging="333"/>
        <w:spacing w:after="0" w:line="277" w:lineRule="auto"/>
        <w:tabs>
          <w:tab w:leader="none" w:pos="18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During May 2013, the Company completed an IPO and listed its ordinary shares and issued 3,125,000 ordinary shares in consideration of $ 21,920, net.</w:t>
      </w:r>
    </w:p>
    <w:p>
      <w:pPr>
        <w:spacing w:after="0" w:line="170" w:lineRule="exact"/>
        <w:rPr>
          <w:rFonts w:ascii="Arial" w:cs="Arial" w:eastAsia="Arial" w:hAnsi="Arial"/>
          <w:sz w:val="18"/>
          <w:szCs w:val="18"/>
          <w:color w:val="auto"/>
        </w:rPr>
      </w:pPr>
    </w:p>
    <w:p>
      <w:pPr>
        <w:jc w:val="both"/>
        <w:ind w:left="1800"/>
        <w:spacing w:after="0" w:line="264" w:lineRule="auto"/>
        <w:rPr>
          <w:rFonts w:ascii="Arial" w:cs="Arial" w:eastAsia="Arial" w:hAnsi="Arial"/>
          <w:sz w:val="18"/>
          <w:szCs w:val="18"/>
          <w:color w:val="auto"/>
        </w:rPr>
      </w:pPr>
      <w:r>
        <w:rPr>
          <w:rFonts w:ascii="Arial" w:cs="Arial" w:eastAsia="Arial" w:hAnsi="Arial"/>
          <w:sz w:val="18"/>
          <w:szCs w:val="18"/>
          <w:color w:val="auto"/>
        </w:rPr>
        <w:t>Following the IPO and according to the terms of the convertible notes, the notes were automatically converted into 123,553 ordinary shares of the Company. In addition, 120,255 warrants were exercised into 85,192 ordinary shares of the Company, using the cashless exercise method.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SHAREHOLDERS' EQUITY (Cont.)</w:t>
      </w:r>
    </w:p>
    <w:p>
      <w:pPr>
        <w:spacing w:after="0" w:line="229" w:lineRule="exact"/>
        <w:rPr>
          <w:sz w:val="20"/>
          <w:szCs w:val="20"/>
          <w:color w:val="auto"/>
        </w:rPr>
      </w:pPr>
    </w:p>
    <w:p>
      <w:pPr>
        <w:ind w:left="1800" w:hanging="333"/>
        <w:spacing w:after="0" w:line="277" w:lineRule="auto"/>
        <w:tabs>
          <w:tab w:leader="none" w:pos="18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During October 2013, the Company completed a secondary public offering and issued 2,300,000 ordinary shares in consideration of $ 35,334, net.</w:t>
      </w:r>
    </w:p>
    <w:p>
      <w:pPr>
        <w:spacing w:after="0" w:line="170" w:lineRule="exact"/>
        <w:rPr>
          <w:rFonts w:ascii="Arial" w:cs="Arial" w:eastAsia="Arial" w:hAnsi="Arial"/>
          <w:sz w:val="18"/>
          <w:szCs w:val="18"/>
          <w:color w:val="auto"/>
        </w:rPr>
      </w:pPr>
    </w:p>
    <w:p>
      <w:pPr>
        <w:ind w:left="1800" w:hanging="333"/>
        <w:spacing w:after="0" w:line="277" w:lineRule="auto"/>
        <w:tabs>
          <w:tab w:leader="none" w:pos="18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During January 2015, the Company completed a public offering and issued 7,475,000 ordinary shares in consideration of $ 27,903, net.</w:t>
      </w:r>
    </w:p>
    <w:p>
      <w:pPr>
        <w:spacing w:after="0" w:line="170" w:lineRule="exact"/>
        <w:rPr>
          <w:rFonts w:ascii="Arial" w:cs="Arial" w:eastAsia="Arial" w:hAnsi="Arial"/>
          <w:sz w:val="18"/>
          <w:szCs w:val="18"/>
          <w:color w:val="auto"/>
        </w:rPr>
      </w:pPr>
    </w:p>
    <w:p>
      <w:pPr>
        <w:ind w:left="1800" w:hanging="333"/>
        <w:spacing w:after="0" w:line="277" w:lineRule="auto"/>
        <w:tabs>
          <w:tab w:leader="none" w:pos="18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During November 2015, the Company completed a public offering and issued 6,379,197 ordinary shares in consideration of $ 38,556, net.</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2010 incentive option plan:</w:t>
      </w:r>
    </w:p>
    <w:p>
      <w:pPr>
        <w:spacing w:after="0" w:line="225" w:lineRule="exact"/>
        <w:rPr>
          <w:rFonts w:ascii="Arial" w:cs="Arial" w:eastAsia="Arial" w:hAnsi="Arial"/>
          <w:sz w:val="18"/>
          <w:szCs w:val="18"/>
          <w:color w:val="auto"/>
        </w:rPr>
      </w:pPr>
    </w:p>
    <w:p>
      <w:pPr>
        <w:jc w:val="both"/>
        <w:ind w:left="1540"/>
        <w:spacing w:after="0" w:line="279" w:lineRule="auto"/>
        <w:rPr>
          <w:rFonts w:ascii="Arial" w:cs="Arial" w:eastAsia="Arial" w:hAnsi="Arial"/>
          <w:sz w:val="18"/>
          <w:szCs w:val="18"/>
          <w:color w:val="auto"/>
        </w:rPr>
      </w:pPr>
      <w:r>
        <w:rPr>
          <w:rFonts w:ascii="Arial" w:cs="Arial" w:eastAsia="Arial" w:hAnsi="Arial"/>
          <w:sz w:val="17"/>
          <w:szCs w:val="17"/>
          <w:color w:val="auto"/>
        </w:rPr>
        <w:t>In February 2010, the Company authorized through its 2010 incentive option plan (the "2010 Plan") the grant of options to officers, directors, advisors, management and other key employees. The Company reserved for grants of options up to 2,118,531 of the Company's ordinary shares. The options granted have generally four year vesting terms and expire between five to ten years after the grant date. As of December 31, 2015, 5,121 options were still available for future grants under the Plan.</w:t>
      </w:r>
    </w:p>
    <w:p>
      <w:pPr>
        <w:spacing w:after="0" w:line="171" w:lineRule="exact"/>
        <w:rPr>
          <w:rFonts w:ascii="Arial" w:cs="Arial" w:eastAsia="Arial" w:hAnsi="Arial"/>
          <w:sz w:val="18"/>
          <w:szCs w:val="18"/>
          <w:color w:val="auto"/>
        </w:rPr>
      </w:pPr>
    </w:p>
    <w:p>
      <w:pPr>
        <w:ind w:left="1540" w:right="1160"/>
        <w:spacing w:after="0" w:line="569" w:lineRule="auto"/>
        <w:rPr>
          <w:rFonts w:ascii="Arial" w:cs="Arial" w:eastAsia="Arial" w:hAnsi="Arial"/>
          <w:sz w:val="18"/>
          <w:szCs w:val="18"/>
          <w:color w:val="auto"/>
        </w:rPr>
      </w:pPr>
      <w:r>
        <w:rPr>
          <w:rFonts w:ascii="Arial" w:cs="Arial" w:eastAsia="Arial" w:hAnsi="Arial"/>
          <w:sz w:val="16"/>
          <w:szCs w:val="16"/>
          <w:color w:val="auto"/>
        </w:rPr>
        <w:t>On March 2, 2016 the Company increased its option pool for grants of options to 3,078,102. Please also refer to Note 12. A summary of the Company's options activity (for employees and directors) under the 2010 Plan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w w:val="93"/>
              </w:rPr>
              <w:t>Year ended December 31,</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15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91"/>
        </w:trPr>
        <w:tc>
          <w:tcPr>
            <w:tcW w:w="15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6"/>
        </w:trPr>
        <w:tc>
          <w:tcPr>
            <w:tcW w:w="1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7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exercise</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exercise</w:t>
            </w:r>
          </w:p>
        </w:tc>
        <w:tc>
          <w:tcPr>
            <w:tcW w:w="76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price</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price</w:t>
            </w:r>
          </w:p>
        </w:tc>
        <w:tc>
          <w:tcPr>
            <w:tcW w:w="760" w:type="dxa"/>
            <w:vAlign w:val="bottom"/>
          </w:tcPr>
          <w:p>
            <w:pPr>
              <w:spacing w:after="0"/>
              <w:rPr>
                <w:sz w:val="20"/>
                <w:szCs w:val="20"/>
                <w:color w:val="auto"/>
              </w:rPr>
            </w:pPr>
          </w:p>
        </w:tc>
      </w:tr>
      <w:tr>
        <w:trPr>
          <w:trHeight w:val="210"/>
        </w:trPr>
        <w:tc>
          <w:tcPr>
            <w:tcW w:w="1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1,540,869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805,300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w:t>
            </w:r>
          </w:p>
        </w:tc>
        <w:tc>
          <w:tcPr>
            <w:tcW w:w="7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445,000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5.70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1,154,345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11.29</w:t>
            </w:r>
          </w:p>
        </w:tc>
        <w:tc>
          <w:tcPr>
            <w:tcW w:w="7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(112,500)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23.85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(372,345)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18.38</w:t>
            </w:r>
          </w:p>
        </w:tc>
        <w:tc>
          <w:tcPr>
            <w:tcW w:w="760" w:type="dxa"/>
            <w:vAlign w:val="bottom"/>
          </w:tcPr>
          <w:p>
            <w:pPr>
              <w:spacing w:after="0"/>
              <w:rPr>
                <w:sz w:val="18"/>
                <w:szCs w:val="18"/>
                <w:color w:val="auto"/>
              </w:rPr>
            </w:pPr>
          </w:p>
        </w:tc>
      </w:tr>
      <w:tr>
        <w:trPr>
          <w:trHeight w:val="230"/>
        </w:trPr>
        <w:tc>
          <w:tcPr>
            <w:tcW w:w="1540" w:type="dxa"/>
            <w:vAlign w:val="bottom"/>
          </w:tcPr>
          <w:p>
            <w:pPr>
              <w:spacing w:after="0"/>
              <w:rPr>
                <w:sz w:val="19"/>
                <w:szCs w:val="19"/>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(46,431)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w:t>
            </w:r>
          </w:p>
        </w:tc>
        <w:tc>
          <w:tcPr>
            <w:tcW w:w="760" w:type="dxa"/>
            <w:vAlign w:val="bottom"/>
          </w:tcPr>
          <w:p>
            <w:pPr>
              <w:spacing w:after="0"/>
              <w:rPr>
                <w:sz w:val="19"/>
                <w:szCs w:val="19"/>
                <w:color w:val="auto"/>
              </w:rPr>
            </w:pPr>
          </w:p>
        </w:tc>
      </w:tr>
      <w:tr>
        <w:trPr>
          <w:trHeight w:val="210"/>
        </w:trPr>
        <w:tc>
          <w:tcPr>
            <w:tcW w:w="1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3"/>
        </w:trPr>
        <w:tc>
          <w:tcPr>
            <w:tcW w:w="1540" w:type="dxa"/>
            <w:vAlign w:val="bottom"/>
          </w:tcPr>
          <w:p>
            <w:pPr>
              <w:spacing w:after="0"/>
              <w:rPr>
                <w:sz w:val="21"/>
                <w:szCs w:val="21"/>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1,824,369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1,540,869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w:t>
            </w:r>
          </w:p>
        </w:tc>
        <w:tc>
          <w:tcPr>
            <w:tcW w:w="760" w:type="dxa"/>
            <w:vAlign w:val="bottom"/>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7"/>
        </w:trPr>
        <w:tc>
          <w:tcPr>
            <w:tcW w:w="15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3"/>
        </w:trPr>
        <w:tc>
          <w:tcPr>
            <w:tcW w:w="1540" w:type="dxa"/>
            <w:vAlign w:val="bottom"/>
          </w:tcPr>
          <w:p>
            <w:pPr>
              <w:spacing w:after="0"/>
              <w:rPr>
                <w:sz w:val="21"/>
                <w:szCs w:val="21"/>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and expected to vest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1,824,369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1,540,869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w:t>
            </w:r>
          </w:p>
        </w:tc>
        <w:tc>
          <w:tcPr>
            <w:tcW w:w="760" w:type="dxa"/>
            <w:vAlign w:val="bottom"/>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7"/>
        </w:trPr>
        <w:tc>
          <w:tcPr>
            <w:tcW w:w="15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3"/>
        </w:trPr>
        <w:tc>
          <w:tcPr>
            <w:tcW w:w="1540" w:type="dxa"/>
            <w:vAlign w:val="bottom"/>
          </w:tcPr>
          <w:p>
            <w:pPr>
              <w:spacing w:after="0"/>
              <w:rPr>
                <w:sz w:val="21"/>
                <w:szCs w:val="21"/>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exercisable at the end of the year</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843,661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640,401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w:t>
            </w:r>
          </w:p>
        </w:tc>
        <w:tc>
          <w:tcPr>
            <w:tcW w:w="760" w:type="dxa"/>
            <w:vAlign w:val="bottom"/>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56"/>
        </w:trPr>
        <w:tc>
          <w:tcPr>
            <w:tcW w:w="15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F-19</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SHAREHOLDERS' EQUITY (Cont.)</w:t>
      </w:r>
    </w:p>
    <w:p>
      <w:pPr>
        <w:spacing w:after="0" w:line="229" w:lineRule="exact"/>
        <w:rPr>
          <w:sz w:val="20"/>
          <w:szCs w:val="20"/>
          <w:color w:val="auto"/>
        </w:rPr>
      </w:pPr>
    </w:p>
    <w:p>
      <w:pPr>
        <w:jc w:val="both"/>
        <w:ind w:left="1520" w:hanging="499"/>
        <w:spacing w:after="0" w:line="279" w:lineRule="auto"/>
        <w:tabs>
          <w:tab w:leader="none" w:pos="15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On March 31, 2015 the Company granted to its Chief Executive Officer options to purchase 400,000 of the Company's ordinary shares, subject to the cancellation of 112,500 out-of-money options. The Company accounted for the cancellation of options, accompanied by the concurrent grant of options in accordance with ASC 718-20-35-8 and calculated the incremental compensation cost as the excess of the fair value of the replacement award over the fair value of the cancelled award at the cancellation date.</w:t>
      </w:r>
    </w:p>
    <w:p>
      <w:pPr>
        <w:spacing w:after="0" w:line="171" w:lineRule="exact"/>
        <w:rPr>
          <w:rFonts w:ascii="Arial" w:cs="Arial" w:eastAsia="Arial" w:hAnsi="Arial"/>
          <w:sz w:val="17"/>
          <w:szCs w:val="17"/>
          <w:color w:val="auto"/>
        </w:rPr>
      </w:pPr>
    </w:p>
    <w:p>
      <w:pPr>
        <w:jc w:val="both"/>
        <w:ind w:left="1540"/>
        <w:spacing w:after="0" w:line="286" w:lineRule="auto"/>
        <w:rPr>
          <w:rFonts w:ascii="Arial" w:cs="Arial" w:eastAsia="Arial" w:hAnsi="Arial"/>
          <w:sz w:val="17"/>
          <w:szCs w:val="17"/>
          <w:color w:val="auto"/>
        </w:rPr>
      </w:pPr>
      <w:r>
        <w:rPr>
          <w:rFonts w:ascii="Arial" w:cs="Arial" w:eastAsia="Arial" w:hAnsi="Arial"/>
          <w:sz w:val="17"/>
          <w:szCs w:val="17"/>
          <w:color w:val="auto"/>
        </w:rPr>
        <w:t>As of December 31, 2015, the aggregated intrinsic value of outstanding and exercisable options is $ 4,024 and $ 2,388, respectively. As of December 31, 2015, the unrecognized compensation cost is $ 1,940 to be recognized from 2016 through 2019, respectively</w:t>
      </w:r>
      <w:r>
        <w:rPr>
          <w:rFonts w:ascii="Arial" w:cs="Arial" w:eastAsia="Arial" w:hAnsi="Arial"/>
          <w:sz w:val="17"/>
          <w:szCs w:val="17"/>
          <w:color w:val="1F497D"/>
        </w:rPr>
        <w:t>,</w:t>
      </w:r>
      <w:r>
        <w:rPr>
          <w:rFonts w:ascii="Arial" w:cs="Arial" w:eastAsia="Arial" w:hAnsi="Arial"/>
          <w:sz w:val="17"/>
          <w:szCs w:val="17"/>
          <w:color w:val="auto"/>
        </w:rPr>
        <w:t xml:space="preserve"> excluding cost of $ 746 for options with vesting subject to certain performance conditions, which are not probable.</w:t>
      </w:r>
    </w:p>
    <w:p>
      <w:pPr>
        <w:spacing w:after="0" w:line="165"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8"/>
          <w:szCs w:val="18"/>
          <w:color w:val="auto"/>
        </w:rPr>
        <w:t>The options outstanding as of December 31, 2015, have been separated into ranges of exercise price, as follows:</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Outstanding</w:t>
            </w: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Exercisable</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8"/>
              </w:rPr>
              <w:t>Weighted</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Weighted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average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remaining</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remaining</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contractual</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contractual</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life</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 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life</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average</w:t>
            </w:r>
          </w:p>
        </w:tc>
      </w:tr>
      <w:tr>
        <w:trPr>
          <w:trHeight w:val="234"/>
        </w:trPr>
        <w:tc>
          <w:tcPr>
            <w:tcW w:w="2240" w:type="dxa"/>
            <w:vAlign w:val="bottom"/>
            <w:gridSpan w:val="2"/>
          </w:tcPr>
          <w:p>
            <w:pPr>
              <w:ind w:left="520"/>
              <w:spacing w:after="0"/>
              <w:rPr>
                <w:sz w:val="20"/>
                <w:szCs w:val="20"/>
                <w:color w:val="auto"/>
              </w:rPr>
            </w:pPr>
            <w:r>
              <w:rPr>
                <w:rFonts w:ascii="Arial" w:cs="Arial" w:eastAsia="Arial" w:hAnsi="Arial"/>
                <w:sz w:val="18"/>
                <w:szCs w:val="18"/>
                <w:b w:val="1"/>
                <w:bCs w:val="1"/>
                <w:color w:val="auto"/>
              </w:rPr>
              <w:t>Exercise price</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(years)</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 price</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options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exercise price</w:t>
            </w:r>
          </w:p>
        </w:tc>
      </w:tr>
      <w:tr>
        <w:trPr>
          <w:trHeight w:val="210"/>
        </w:trPr>
        <w:tc>
          <w:tcPr>
            <w:tcW w:w="2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tcPr>
          <w:p>
            <w:pPr>
              <w:spacing w:after="0"/>
              <w:rPr>
                <w:sz w:val="18"/>
                <w:szCs w:val="18"/>
                <w:color w:val="auto"/>
              </w:rPr>
            </w:pPr>
          </w:p>
        </w:tc>
      </w:tr>
      <w:tr>
        <w:trPr>
          <w:trHeight w:val="210"/>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0.33-3.29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916,305</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461,421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color w:val="auto"/>
                <w:w w:val="89"/>
              </w:rPr>
              <w:t>5.63-8.00</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666,494</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5.38</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6.74</w:t>
            </w:r>
          </w:p>
        </w:tc>
        <w:tc>
          <w:tcPr>
            <w:tcW w:w="1060" w:type="dxa"/>
            <w:vAlign w:val="bottom"/>
          </w:tcPr>
          <w:p>
            <w:pPr>
              <w:jc w:val="right"/>
              <w:spacing w:after="0"/>
              <w:rPr>
                <w:sz w:val="20"/>
                <w:szCs w:val="20"/>
                <w:color w:val="auto"/>
              </w:rPr>
            </w:pPr>
            <w:r>
              <w:rPr>
                <w:rFonts w:ascii="Arial" w:cs="Arial" w:eastAsia="Arial" w:hAnsi="Arial"/>
                <w:sz w:val="18"/>
                <w:szCs w:val="18"/>
                <w:color w:val="auto"/>
              </w:rPr>
              <w:t>192,543</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7.06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12.99-18.49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199,071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r>
      <w:tr>
        <w:trPr>
          <w:trHeight w:val="230"/>
        </w:trPr>
        <w:tc>
          <w:tcPr>
            <w:tcW w:w="2120" w:type="dxa"/>
            <w:vAlign w:val="bottom"/>
          </w:tcPr>
          <w:p>
            <w:pPr>
              <w:jc w:val="center"/>
              <w:spacing w:after="0"/>
              <w:rPr>
                <w:sz w:val="20"/>
                <w:szCs w:val="20"/>
                <w:color w:val="auto"/>
              </w:rPr>
            </w:pPr>
            <w:r>
              <w:rPr>
                <w:rFonts w:ascii="Arial" w:cs="Arial" w:eastAsia="Arial" w:hAnsi="Arial"/>
                <w:sz w:val="18"/>
                <w:szCs w:val="18"/>
                <w:color w:val="auto"/>
                <w:w w:val="91"/>
              </w:rPr>
              <w:t>23.00-23.48</w:t>
            </w:r>
          </w:p>
        </w:tc>
        <w:tc>
          <w:tcPr>
            <w:tcW w:w="1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42,500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4.61</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23.75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39,688</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4.36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23.80</w:t>
            </w:r>
          </w:p>
        </w:tc>
      </w:tr>
      <w:tr>
        <w:trPr>
          <w:trHeight w:val="210"/>
        </w:trPr>
        <w:tc>
          <w:tcPr>
            <w:tcW w:w="2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2120" w:type="dxa"/>
            <w:vAlign w:val="bottom"/>
          </w:tcPr>
          <w:p>
            <w:pPr>
              <w:jc w:val="center"/>
              <w:spacing w:after="0"/>
              <w:rPr>
                <w:sz w:val="20"/>
                <w:szCs w:val="20"/>
                <w:color w:val="auto"/>
              </w:rPr>
            </w:pPr>
            <w:r>
              <w:rPr>
                <w:rFonts w:ascii="Arial" w:cs="Arial" w:eastAsia="Arial" w:hAnsi="Arial"/>
                <w:sz w:val="18"/>
                <w:szCs w:val="18"/>
                <w:color w:val="auto"/>
                <w:w w:val="90"/>
              </w:rPr>
              <w:t>0.33-23.48</w:t>
            </w:r>
          </w:p>
        </w:tc>
        <w:tc>
          <w:tcPr>
            <w:tcW w:w="1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1,824,369</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5.11</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5.83</w:t>
            </w:r>
          </w:p>
        </w:tc>
        <w:tc>
          <w:tcPr>
            <w:tcW w:w="1060" w:type="dxa"/>
            <w:vAlign w:val="bottom"/>
          </w:tcPr>
          <w:p>
            <w:pPr>
              <w:jc w:val="right"/>
              <w:spacing w:after="0"/>
              <w:rPr>
                <w:sz w:val="20"/>
                <w:szCs w:val="20"/>
                <w:color w:val="auto"/>
              </w:rPr>
            </w:pPr>
            <w:r>
              <w:rPr>
                <w:rFonts w:ascii="Arial" w:cs="Arial" w:eastAsia="Arial" w:hAnsi="Arial"/>
                <w:sz w:val="18"/>
                <w:szCs w:val="18"/>
                <w:color w:val="auto"/>
              </w:rPr>
              <w:t>843,661</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5.77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 "Equity-Based payment to non-employees".</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outstanding options granted to the Company's consultants are as follows:</w:t>
      </w:r>
    </w:p>
    <w:p>
      <w:pPr>
        <w:spacing w:after="0" w:line="22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w:t>
            </w:r>
          </w:p>
        </w:tc>
        <w:tc>
          <w:tcPr>
            <w:tcW w:w="1860" w:type="dxa"/>
            <w:vAlign w:val="bottom"/>
          </w:tcPr>
          <w:p>
            <w:pPr>
              <w:spacing w:after="0"/>
              <w:rPr>
                <w:sz w:val="18"/>
                <w:szCs w:val="18"/>
                <w:color w:val="auto"/>
              </w:rPr>
            </w:pPr>
          </w:p>
        </w:tc>
      </w:tr>
      <w:tr>
        <w:trPr>
          <w:trHeight w:val="234"/>
        </w:trPr>
        <w:tc>
          <w:tcPr>
            <w:tcW w:w="4680" w:type="dxa"/>
            <w:vAlign w:val="bottom"/>
            <w:gridSpan w:val="2"/>
          </w:tcPr>
          <w:p>
            <w:pPr>
              <w:ind w:left="1880"/>
              <w:spacing w:after="0"/>
              <w:rPr>
                <w:sz w:val="20"/>
                <w:szCs w:val="20"/>
                <w:color w:val="auto"/>
              </w:rPr>
            </w:pPr>
            <w:r>
              <w:rPr>
                <w:rFonts w:ascii="Arial" w:cs="Arial" w:eastAsia="Arial" w:hAnsi="Arial"/>
                <w:sz w:val="18"/>
                <w:szCs w:val="18"/>
                <w:b w:val="1"/>
                <w:bCs w:val="1"/>
                <w:color w:val="auto"/>
              </w:rPr>
              <w:t>Grant date</w:t>
            </w: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options</w:t>
            </w:r>
          </w:p>
        </w:tc>
        <w:tc>
          <w:tcPr>
            <w:tcW w:w="18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price</w:t>
            </w:r>
          </w:p>
        </w:tc>
        <w:tc>
          <w:tcPr>
            <w:tcW w:w="1860" w:type="dxa"/>
            <w:vAlign w:val="bottom"/>
          </w:tcPr>
          <w:p>
            <w:pPr>
              <w:ind w:left="320"/>
              <w:spacing w:after="0"/>
              <w:rPr>
                <w:sz w:val="20"/>
                <w:szCs w:val="20"/>
                <w:color w:val="auto"/>
              </w:rPr>
            </w:pPr>
            <w:r>
              <w:rPr>
                <w:rFonts w:ascii="Arial" w:cs="Arial" w:eastAsia="Arial" w:hAnsi="Arial"/>
                <w:sz w:val="18"/>
                <w:szCs w:val="18"/>
                <w:b w:val="1"/>
                <w:bCs w:val="1"/>
                <w:color w:val="auto"/>
              </w:rPr>
              <w:t>Expiration date</w:t>
            </w:r>
          </w:p>
        </w:tc>
      </w:tr>
      <w:tr>
        <w:trPr>
          <w:trHeight w:val="210"/>
        </w:trPr>
        <w:tc>
          <w:tcPr>
            <w:tcW w:w="45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February 28, 2010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4"/>
              </w:rPr>
              <w:t>8,805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February 28, 2020</w:t>
            </w:r>
          </w:p>
        </w:tc>
      </w:tr>
      <w:tr>
        <w:trPr>
          <w:trHeight w:val="230"/>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February 17, 2011</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w w:val="88"/>
              </w:rPr>
              <w:t>3,804</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0.0005</w:t>
            </w:r>
          </w:p>
        </w:tc>
        <w:tc>
          <w:tcPr>
            <w:tcW w:w="1860" w:type="dxa"/>
            <w:vAlign w:val="bottom"/>
          </w:tcPr>
          <w:p>
            <w:pPr>
              <w:ind w:left="60"/>
              <w:spacing w:after="0"/>
              <w:rPr>
                <w:sz w:val="20"/>
                <w:szCs w:val="20"/>
                <w:color w:val="auto"/>
              </w:rPr>
            </w:pPr>
            <w:r>
              <w:rPr>
                <w:rFonts w:ascii="Arial" w:cs="Arial" w:eastAsia="Arial" w:hAnsi="Arial"/>
                <w:sz w:val="18"/>
                <w:szCs w:val="18"/>
                <w:color w:val="auto"/>
              </w:rPr>
              <w:t>February 17, 2021</w:t>
            </w:r>
          </w:p>
        </w:tc>
      </w:tr>
      <w:tr>
        <w:trPr>
          <w:trHeight w:val="210"/>
        </w:trPr>
        <w:tc>
          <w:tcPr>
            <w:tcW w:w="4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r>
      <w:tr>
        <w:trPr>
          <w:trHeight w:val="243"/>
        </w:trPr>
        <w:tc>
          <w:tcPr>
            <w:tcW w:w="4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12,609*)</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All options were fully vested on grant 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ind w:left="8160"/>
        <w:spacing w:after="0"/>
        <w:rPr>
          <w:sz w:val="20"/>
          <w:szCs w:val="20"/>
          <w:color w:val="auto"/>
        </w:rPr>
      </w:pPr>
      <w:r>
        <w:rPr>
          <w:rFonts w:ascii="Arial" w:cs="Arial" w:eastAsia="Arial" w:hAnsi="Arial"/>
          <w:sz w:val="17"/>
          <w:szCs w:val="17"/>
          <w:b w:val="1"/>
          <w:bCs w:val="1"/>
          <w:color w:val="auto"/>
        </w:rPr>
        <w:t>ALCOBRA LTD. AND ITS SUBSIDIARY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SHAREHOLDERS' EQUITY (Cont.)</w:t>
      </w:r>
    </w:p>
    <w:p>
      <w:pPr>
        <w:spacing w:after="0" w:line="229" w:lineRule="exact"/>
        <w:rPr>
          <w:sz w:val="20"/>
          <w:szCs w:val="20"/>
          <w:color w:val="auto"/>
        </w:rPr>
      </w:pPr>
    </w:p>
    <w:p>
      <w:pPr>
        <w:ind w:left="1520" w:hanging="499"/>
        <w:spacing w:after="0"/>
        <w:tabs>
          <w:tab w:leader="none" w:pos="1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Warrants granted to underwriters: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outstanding options granted to the underwriters for the IPO are as follows:</w:t>
      </w:r>
    </w:p>
    <w:p>
      <w:pPr>
        <w:spacing w:after="0" w:line="22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w:t>
            </w:r>
          </w:p>
        </w:tc>
        <w:tc>
          <w:tcPr>
            <w:tcW w:w="1860" w:type="dxa"/>
            <w:vAlign w:val="bottom"/>
          </w:tcPr>
          <w:p>
            <w:pPr>
              <w:spacing w:after="0"/>
              <w:rPr>
                <w:sz w:val="18"/>
                <w:szCs w:val="18"/>
                <w:color w:val="auto"/>
              </w:rPr>
            </w:pPr>
          </w:p>
        </w:tc>
      </w:tr>
      <w:tr>
        <w:trPr>
          <w:trHeight w:val="234"/>
        </w:trPr>
        <w:tc>
          <w:tcPr>
            <w:tcW w:w="4680" w:type="dxa"/>
            <w:vAlign w:val="bottom"/>
            <w:gridSpan w:val="2"/>
          </w:tcPr>
          <w:p>
            <w:pPr>
              <w:ind w:left="1880"/>
              <w:spacing w:after="0"/>
              <w:rPr>
                <w:sz w:val="20"/>
                <w:szCs w:val="20"/>
                <w:color w:val="auto"/>
              </w:rPr>
            </w:pPr>
            <w:r>
              <w:rPr>
                <w:rFonts w:ascii="Arial" w:cs="Arial" w:eastAsia="Arial" w:hAnsi="Arial"/>
                <w:sz w:val="18"/>
                <w:szCs w:val="18"/>
                <w:b w:val="1"/>
                <w:bCs w:val="1"/>
                <w:color w:val="auto"/>
              </w:rPr>
              <w:t>Grant date</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options</w:t>
            </w:r>
          </w:p>
        </w:tc>
        <w:tc>
          <w:tcPr>
            <w:tcW w:w="18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price</w:t>
            </w:r>
          </w:p>
        </w:tc>
        <w:tc>
          <w:tcPr>
            <w:tcW w:w="1860" w:type="dxa"/>
            <w:vAlign w:val="bottom"/>
          </w:tcPr>
          <w:p>
            <w:pPr>
              <w:ind w:left="320"/>
              <w:spacing w:after="0"/>
              <w:rPr>
                <w:sz w:val="20"/>
                <w:szCs w:val="20"/>
                <w:color w:val="auto"/>
              </w:rPr>
            </w:pPr>
            <w:r>
              <w:rPr>
                <w:rFonts w:ascii="Arial" w:cs="Arial" w:eastAsia="Arial" w:hAnsi="Arial"/>
                <w:sz w:val="18"/>
                <w:szCs w:val="18"/>
                <w:b w:val="1"/>
                <w:bCs w:val="1"/>
                <w:color w:val="auto"/>
              </w:rPr>
              <w:t>Expiration date</w:t>
            </w:r>
          </w:p>
        </w:tc>
      </w:tr>
      <w:tr>
        <w:trPr>
          <w:trHeight w:val="210"/>
        </w:trPr>
        <w:tc>
          <w:tcPr>
            <w:tcW w:w="45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May 28, 2013</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May 28, 2016</w:t>
            </w:r>
          </w:p>
        </w:tc>
      </w:tr>
    </w:tbl>
    <w:p>
      <w:pPr>
        <w:spacing w:after="0" w:line="202" w:lineRule="exact"/>
        <w:rPr>
          <w:sz w:val="20"/>
          <w:szCs w:val="20"/>
          <w:color w:val="auto"/>
        </w:rPr>
      </w:pPr>
    </w:p>
    <w:p>
      <w:pPr>
        <w:ind w:left="1520" w:hanging="499"/>
        <w:spacing w:after="0"/>
        <w:tabs>
          <w:tab w:leader="none" w:pos="1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share-based expense recognized in the consolidated financial statements for services received from employees and directors is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3"/>
              </w:rPr>
              <w:t>December 31,</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23"/>
        </w:trPr>
        <w:tc>
          <w:tcPr>
            <w:tcW w:w="15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0"/>
        </w:trPr>
        <w:tc>
          <w:tcPr>
            <w:tcW w:w="15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w:t>
            </w:r>
          </w:p>
        </w:tc>
        <w:tc>
          <w:tcPr>
            <w:tcW w:w="5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Pre-commercialization expenses</w:t>
            </w: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616</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r>
      <w:tr>
        <w:trPr>
          <w:trHeight w:val="230"/>
        </w:trPr>
        <w:tc>
          <w:tcPr>
            <w:tcW w:w="154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9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1,289</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w:t>
            </w:r>
          </w:p>
        </w:tc>
        <w:tc>
          <w:tcPr>
            <w:tcW w:w="540" w:type="dxa"/>
            <w:vAlign w:val="bottom"/>
          </w:tcPr>
          <w:p>
            <w:pPr>
              <w:spacing w:after="0"/>
              <w:rPr>
                <w:sz w:val="19"/>
                <w:szCs w:val="19"/>
                <w:color w:val="auto"/>
              </w:rPr>
            </w:pPr>
          </w:p>
        </w:tc>
      </w:tr>
      <w:tr>
        <w:trPr>
          <w:trHeight w:val="210"/>
        </w:trPr>
        <w:tc>
          <w:tcPr>
            <w:tcW w:w="15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3"/>
        </w:trPr>
        <w:tc>
          <w:tcPr>
            <w:tcW w:w="1540" w:type="dxa"/>
            <w:vAlign w:val="bottom"/>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27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2,365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1,540</w:t>
            </w:r>
          </w:p>
        </w:tc>
        <w:tc>
          <w:tcPr>
            <w:tcW w:w="540" w:type="dxa"/>
            <w:vAlign w:val="bottom"/>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629"/>
        </w:trPr>
        <w:tc>
          <w:tcPr>
            <w:tcW w:w="15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jc w:val="right"/>
              <w:ind w:right="1610"/>
              <w:spacing w:after="0"/>
              <w:rPr>
                <w:sz w:val="20"/>
                <w:szCs w:val="20"/>
                <w:color w:val="auto"/>
              </w:rPr>
            </w:pPr>
            <w:r>
              <w:rPr>
                <w:rFonts w:ascii="Arial" w:cs="Arial" w:eastAsia="Arial" w:hAnsi="Arial"/>
                <w:sz w:val="18"/>
                <w:szCs w:val="18"/>
                <w:color w:val="auto"/>
              </w:rPr>
              <w:t>F-21</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RELATED PARTY BALANCES AND TRANSACTIONS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Related parties' expenses:</w:t>
      </w:r>
    </w:p>
    <w:p>
      <w:pPr>
        <w:spacing w:after="0" w:line="221" w:lineRule="exact"/>
        <w:rPr>
          <w:sz w:val="20"/>
          <w:szCs w:val="20"/>
          <w:color w:val="auto"/>
        </w:rPr>
      </w:pPr>
    </w:p>
    <w:p>
      <w:pPr>
        <w:jc w:val="center"/>
        <w:ind w:left="568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56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5715</wp:posOffset>
            </wp:positionV>
            <wp:extent cx="26416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ind w:left="6920"/>
        <w:spacing w:after="0"/>
        <w:tabs>
          <w:tab w:leader="none" w:pos="8360" w:val="left"/>
          <w:tab w:leader="none" w:pos="980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Amounts charged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-130810</wp:posOffset>
            </wp:positionV>
            <wp:extent cx="615759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04" w:lineRule="exact"/>
        <w:rPr>
          <w:sz w:val="20"/>
          <w:szCs w:val="20"/>
          <w:color w:val="auto"/>
        </w:rPr>
      </w:pPr>
    </w:p>
    <w:p>
      <w:pPr>
        <w:ind w:left="1080"/>
        <w:spacing w:after="0"/>
        <w:tabs>
          <w:tab w:leader="none" w:pos="6460" w:val="left"/>
          <w:tab w:leader="none" w:pos="7660" w:val="left"/>
          <w:tab w:leader="none" w:pos="7920" w:val="left"/>
          <w:tab w:leader="none" w:pos="8900" w:val="left"/>
          <w:tab w:leader="none" w:pos="9360" w:val="left"/>
          <w:tab w:leader="none" w:pos="10340" w:val="left"/>
        </w:tabs>
        <w:rPr>
          <w:sz w:val="20"/>
          <w:szCs w:val="20"/>
          <w:color w:val="auto"/>
        </w:rPr>
      </w:pPr>
      <w:r>
        <w:rPr>
          <w:rFonts w:ascii="Arial" w:cs="Arial" w:eastAsia="Arial" w:hAnsi="Arial"/>
          <w:sz w:val="18"/>
          <w:szCs w:val="18"/>
          <w:color w:val="auto"/>
        </w:rPr>
        <w:t>General and administrative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332</w:t>
        <w:tab/>
        <w:t>$</w:t>
      </w:r>
      <w:r>
        <w:rPr>
          <w:sz w:val="20"/>
          <w:szCs w:val="20"/>
          <w:color w:val="auto"/>
        </w:rPr>
        <w:tab/>
      </w:r>
      <w:r>
        <w:rPr>
          <w:rFonts w:ascii="Arial" w:cs="Arial" w:eastAsia="Arial" w:hAnsi="Arial"/>
          <w:sz w:val="16"/>
          <w:szCs w:val="16"/>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-121920</wp:posOffset>
            </wp:positionV>
            <wp:extent cx="6157595" cy="180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57595" cy="180340"/>
                    </a:xfrm>
                    <a:prstGeom prst="rect">
                      <a:avLst/>
                    </a:prstGeom>
                    <a:noFill/>
                  </pic:spPr>
                </pic:pic>
              </a:graphicData>
            </a:graphic>
          </wp:anchor>
        </w:drawing>
      </w:r>
    </w:p>
    <w:p>
      <w:pPr>
        <w:spacing w:after="0" w:line="273" w:lineRule="exact"/>
        <w:rPr>
          <w:sz w:val="20"/>
          <w:szCs w:val="20"/>
          <w:color w:val="auto"/>
        </w:rPr>
      </w:pPr>
    </w:p>
    <w:p>
      <w:pPr>
        <w:jc w:val="both"/>
        <w:ind w:left="1020"/>
        <w:spacing w:after="0" w:line="279" w:lineRule="auto"/>
        <w:rPr>
          <w:sz w:val="20"/>
          <w:szCs w:val="20"/>
          <w:color w:val="auto"/>
        </w:rPr>
      </w:pPr>
      <w:r>
        <w:rPr>
          <w:rFonts w:ascii="Arial" w:cs="Arial" w:eastAsia="Arial" w:hAnsi="Arial"/>
          <w:sz w:val="17"/>
          <w:szCs w:val="17"/>
          <w:color w:val="auto"/>
        </w:rPr>
        <w:t>On March 1, 2008, the Company signed an agreement with a consultant, who is also one of the Company's shareholders, as a contractor to render management, finance and operation services. The Company paid the consultant an amount of $ 7 per month. During May 2013, the monthly fee was increased to an amount of $ 12. The amendment was effective upon consummation of the IPO in May 2013. In June 2013, and in connection with the consummation of the IPO, the Company granted the consultant a bonus in the amount of $ 50.</w:t>
      </w:r>
    </w:p>
    <w:p>
      <w:pPr>
        <w:spacing w:after="0" w:line="171"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In February 2014, the general meeting of the Company's shareholders approved the grant of an annual bonus to the consultant, in the amount of $ 200. The agreement was terminated in May 2014.</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NOTE 11:-  FINANCIAL EXPENSES (INCOME), NET</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40" w:type="dxa"/>
            <w:vAlign w:val="bottom"/>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expenses: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rate</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Bank fees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30"/>
        </w:trPr>
        <w:tc>
          <w:tcPr>
            <w:tcW w:w="1040" w:type="dxa"/>
            <w:vAlign w:val="bottom"/>
          </w:tcPr>
          <w:p>
            <w:pPr>
              <w:spacing w:after="0"/>
              <w:rPr>
                <w:sz w:val="19"/>
                <w:szCs w:val="19"/>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convertible notes</w:t>
            </w:r>
          </w:p>
        </w:tc>
        <w:tc>
          <w:tcPr>
            <w:tcW w:w="10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40" w:type="dxa"/>
            <w:vAlign w:val="bottom"/>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4400" w:type="dxa"/>
            <w:vAlign w:val="bottom"/>
          </w:tcPr>
          <w:p>
            <w:pPr>
              <w:ind w:left="40"/>
              <w:spacing w:after="0"/>
              <w:rPr>
                <w:sz w:val="20"/>
                <w:szCs w:val="20"/>
                <w:color w:val="auto"/>
              </w:rPr>
            </w:pPr>
            <w:r>
              <w:rPr>
                <w:rFonts w:ascii="Arial" w:cs="Arial" w:eastAsia="Arial" w:hAnsi="Arial"/>
                <w:sz w:val="18"/>
                <w:szCs w:val="18"/>
                <w:color w:val="auto"/>
              </w:rPr>
              <w:t>Financial income: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rate</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1040" w:type="dxa"/>
            <w:vAlign w:val="bottom"/>
          </w:tcPr>
          <w:p>
            <w:pPr>
              <w:spacing w:after="0"/>
              <w:rPr>
                <w:sz w:val="19"/>
                <w:szCs w:val="19"/>
                <w:color w:val="auto"/>
              </w:rPr>
            </w:pPr>
          </w:p>
        </w:tc>
        <w:tc>
          <w:tcPr>
            <w:tcW w:w="4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income</w:t>
            </w:r>
          </w:p>
        </w:tc>
        <w:tc>
          <w:tcPr>
            <w:tcW w:w="1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040" w:type="dxa"/>
            <w:vAlign w:val="bottom"/>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1040" w:type="dxa"/>
            <w:vAlign w:val="bottom"/>
          </w:tcPr>
          <w:p>
            <w:pPr>
              <w:spacing w:after="0"/>
              <w:rPr>
                <w:sz w:val="21"/>
                <w:szCs w:val="21"/>
                <w:color w:val="auto"/>
              </w:rPr>
            </w:pPr>
          </w:p>
        </w:tc>
        <w:tc>
          <w:tcPr>
            <w:tcW w:w="4400" w:type="dxa"/>
            <w:vAlign w:val="bottom"/>
          </w:tcPr>
          <w:p>
            <w:pPr>
              <w:ind w:left="40"/>
              <w:spacing w:after="0"/>
              <w:rPr>
                <w:sz w:val="20"/>
                <w:szCs w:val="20"/>
                <w:color w:val="auto"/>
              </w:rPr>
            </w:pPr>
            <w:r>
              <w:rPr>
                <w:rFonts w:ascii="Arial" w:cs="Arial" w:eastAsia="Arial" w:hAnsi="Arial"/>
                <w:sz w:val="18"/>
                <w:szCs w:val="18"/>
                <w:color w:val="auto"/>
              </w:rPr>
              <w:t>Financial expenses (income), net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SUBSEQUENT EVENS</w:t>
      </w:r>
    </w:p>
    <w:p>
      <w:pPr>
        <w:spacing w:after="0" w:line="229"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On March 2, 2016 the Company's board of directors resolved to increase the company's option pool to 3,078,102 options and to grant 959,571 options to employees and directors with an exercise price of $4.55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u w:val="single" w:color="auto"/>
          <w:color w:val="auto"/>
        </w:rPr>
        <w:t>Exhibit 4.3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Alcobra Ltd.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The 2010 Incentive Option Plan</w:t>
      </w:r>
    </w:p>
    <w:p>
      <w:pPr>
        <w:spacing w:after="0" w:line="200" w:lineRule="exact"/>
        <w:rPr>
          <w:sz w:val="20"/>
          <w:szCs w:val="20"/>
          <w:color w:val="auto"/>
        </w:rPr>
      </w:pPr>
    </w:p>
    <w:p>
      <w:pPr>
        <w:spacing w:after="0" w:line="252"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252" w:lineRule="exact"/>
        <w:rPr>
          <w:rFonts w:ascii="Arial" w:cs="Arial" w:eastAsia="Arial" w:hAnsi="Arial"/>
          <w:sz w:val="18"/>
          <w:szCs w:val="18"/>
          <w:b w:val="1"/>
          <w:bCs w:val="1"/>
          <w:color w:val="auto"/>
        </w:rPr>
      </w:pPr>
    </w:p>
    <w:p>
      <w:pPr>
        <w:jc w:val="both"/>
        <w:ind w:left="64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 xml:space="preserve">The purpose of this 2010 Incentive Option Plan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is to advance the interests of Alcobra Ltd. (the </w:t>
      </w:r>
      <w:r>
        <w:rPr>
          <w:rFonts w:ascii="Arial" w:cs="Arial" w:eastAsia="Arial" w:hAnsi="Arial"/>
          <w:sz w:val="17"/>
          <w:szCs w:val="17"/>
          <w:b w:val="1"/>
          <w:bCs w:val="1"/>
          <w:color w:val="auto"/>
        </w:rPr>
        <w:t>“Company”</w:t>
      </w:r>
      <w:r>
        <w:rPr>
          <w:rFonts w:ascii="Arial" w:cs="Arial" w:eastAsia="Arial" w:hAnsi="Arial"/>
          <w:sz w:val="17"/>
          <w:szCs w:val="17"/>
          <w:color w:val="auto"/>
        </w:rPr>
        <w:t>) and its shareholders by attracting and retaining the best available personnel for positions of substantial responsibility, providing additional incentive to employees, office holders and service providers and promoting a close identity of interests between those individuals and entities and the Company.</w:t>
      </w:r>
    </w:p>
    <w:p>
      <w:pPr>
        <w:spacing w:after="0" w:line="158" w:lineRule="exact"/>
        <w:rPr>
          <w:rFonts w:ascii="Arial" w:cs="Arial" w:eastAsia="Arial" w:hAnsi="Arial"/>
          <w:sz w:val="18"/>
          <w:szCs w:val="18"/>
          <w:b w:val="1"/>
          <w:bCs w:val="1"/>
          <w:color w:val="auto"/>
        </w:rPr>
      </w:pPr>
    </w:p>
    <w:p>
      <w:pPr>
        <w:ind w:left="640" w:hanging="632"/>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definitions shall apply:</w:t>
      </w:r>
    </w:p>
    <w:p>
      <w:pPr>
        <w:spacing w:after="0" w:line="23"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the Committee, as shall administer the Plan, as set forth herein.</w:t>
      </w:r>
    </w:p>
    <w:p>
      <w:pPr>
        <w:spacing w:after="0" w:line="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6"/>
          <w:szCs w:val="16"/>
          <w:color w:val="auto"/>
        </w:rPr>
        <w:t>“</w:t>
      </w:r>
      <w:r>
        <w:rPr>
          <w:rFonts w:ascii="Arial" w:cs="Arial" w:eastAsia="Arial" w:hAnsi="Arial"/>
          <w:sz w:val="16"/>
          <w:szCs w:val="16"/>
          <w:b w:val="1"/>
          <w:bCs w:val="1"/>
          <w:color w:val="auto"/>
        </w:rPr>
        <w:t>Articles</w:t>
      </w:r>
      <w:r>
        <w:rPr>
          <w:rFonts w:ascii="Arial" w:cs="Arial" w:eastAsia="Arial" w:hAnsi="Arial"/>
          <w:sz w:val="16"/>
          <w:szCs w:val="16"/>
          <w:color w:val="auto"/>
        </w:rPr>
        <w:t>” mean the Company’s Articles of Association, as amended from time to time.</w:t>
      </w:r>
    </w:p>
    <w:p>
      <w:pPr>
        <w:spacing w:after="0" w:line="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2.3.</w:t>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9" w:lineRule="exact"/>
        <w:rPr>
          <w:rFonts w:ascii="Arial" w:cs="Arial" w:eastAsia="Arial" w:hAnsi="Arial"/>
          <w:sz w:val="18"/>
          <w:szCs w:val="18"/>
          <w:b w:val="1"/>
          <w:bCs w:val="1"/>
          <w:color w:val="auto"/>
        </w:rPr>
      </w:pPr>
    </w:p>
    <w:p>
      <w:pPr>
        <w:ind w:left="1920" w:right="20" w:hanging="635"/>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2.4."</w:t>
      </w:r>
      <w:r>
        <w:rPr>
          <w:rFonts w:ascii="Arial" w:cs="Arial" w:eastAsia="Arial" w:hAnsi="Arial"/>
          <w:sz w:val="18"/>
          <w:szCs w:val="18"/>
          <w:b w:val="1"/>
          <w:bCs w:val="1"/>
          <w:color w:val="auto"/>
        </w:rPr>
        <w:t>Committee</w:t>
      </w:r>
      <w:r>
        <w:rPr>
          <w:rFonts w:ascii="Arial" w:cs="Arial" w:eastAsia="Arial" w:hAnsi="Arial"/>
          <w:sz w:val="18"/>
          <w:szCs w:val="18"/>
          <w:color w:val="auto"/>
        </w:rPr>
        <w:t>" means the Company’s compensation committee, or in the case there is no such committee, a committee appointed in order to administer the Plan, and until such committee is appointed, the Board.</w:t>
      </w: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2.5.</w:t>
      </w:r>
      <w:r>
        <w:rPr>
          <w:rFonts w:ascii="Arial" w:cs="Arial" w:eastAsia="Arial" w:hAnsi="Arial"/>
          <w:sz w:val="16"/>
          <w:szCs w:val="16"/>
          <w:color w:val="auto"/>
        </w:rPr>
        <w:t>“</w:t>
      </w:r>
      <w:r>
        <w:rPr>
          <w:rFonts w:ascii="Arial" w:cs="Arial" w:eastAsia="Arial" w:hAnsi="Arial"/>
          <w:sz w:val="16"/>
          <w:szCs w:val="16"/>
          <w:b w:val="1"/>
          <w:bCs w:val="1"/>
          <w:color w:val="auto"/>
        </w:rPr>
        <w:t>Companies Law</w:t>
      </w:r>
      <w:r>
        <w:rPr>
          <w:rFonts w:ascii="Arial" w:cs="Arial" w:eastAsia="Arial" w:hAnsi="Arial"/>
          <w:sz w:val="16"/>
          <w:szCs w:val="16"/>
          <w:color w:val="auto"/>
        </w:rPr>
        <w:t>” means the Israeli Companies Law 5759 - 1999.</w:t>
      </w:r>
    </w:p>
    <w:p>
      <w:pPr>
        <w:spacing w:after="0" w:line="9" w:lineRule="exact"/>
        <w:rPr>
          <w:rFonts w:ascii="Arial" w:cs="Arial" w:eastAsia="Arial" w:hAnsi="Arial"/>
          <w:sz w:val="18"/>
          <w:szCs w:val="18"/>
          <w:b w:val="1"/>
          <w:bCs w:val="1"/>
          <w:color w:val="auto"/>
        </w:rPr>
      </w:pPr>
    </w:p>
    <w:p>
      <w:pPr>
        <w:ind w:left="1920" w:hanging="635"/>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2.6."</w:t>
      </w:r>
      <w:r>
        <w:rPr>
          <w:rFonts w:ascii="Arial" w:cs="Arial" w:eastAsia="Arial" w:hAnsi="Arial"/>
          <w:sz w:val="18"/>
          <w:szCs w:val="18"/>
          <w:b w:val="1"/>
          <w:bCs w:val="1"/>
          <w:color w:val="auto"/>
        </w:rPr>
        <w:t>Employee</w:t>
      </w:r>
      <w:r>
        <w:rPr>
          <w:rFonts w:ascii="Arial" w:cs="Arial" w:eastAsia="Arial" w:hAnsi="Arial"/>
          <w:sz w:val="18"/>
          <w:szCs w:val="18"/>
          <w:color w:val="auto"/>
        </w:rPr>
        <w:t>" means: (I) any person, employed by the Company or employed by any Related Entity; and (II) any Office Holder (as such term is defined in the Companies Law), officer or Director of the Company or a Related Entity.</w:t>
      </w: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2.7.</w:t>
      </w:r>
      <w:r>
        <w:rPr>
          <w:rFonts w:ascii="Arial" w:cs="Arial" w:eastAsia="Arial" w:hAnsi="Arial"/>
          <w:sz w:val="16"/>
          <w:szCs w:val="16"/>
          <w:color w:val="auto"/>
        </w:rPr>
        <w:t>“</w:t>
      </w:r>
      <w:r>
        <w:rPr>
          <w:rFonts w:ascii="Arial" w:cs="Arial" w:eastAsia="Arial" w:hAnsi="Arial"/>
          <w:sz w:val="16"/>
          <w:szCs w:val="16"/>
          <w:b w:val="1"/>
          <w:bCs w:val="1"/>
          <w:color w:val="auto"/>
        </w:rPr>
        <w:t>Exercise Price</w:t>
      </w:r>
      <w:r>
        <w:rPr>
          <w:rFonts w:ascii="Arial" w:cs="Arial" w:eastAsia="Arial" w:hAnsi="Arial"/>
          <w:sz w:val="16"/>
          <w:szCs w:val="16"/>
          <w:color w:val="auto"/>
        </w:rPr>
        <w:t>” means the price that is to be paid in order to exercise an Option.</w:t>
      </w:r>
    </w:p>
    <w:p>
      <w:pPr>
        <w:spacing w:after="0" w:line="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2.8.</w:t>
      </w: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the Company and the Related Entities taken together.</w:t>
      </w:r>
    </w:p>
    <w:p>
      <w:pPr>
        <w:spacing w:after="0" w:line="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2.9.</w:t>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an initial public offering of the Company's Shares.</w:t>
      </w:r>
    </w:p>
    <w:p>
      <w:pPr>
        <w:spacing w:after="0" w:line="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2.10.   "</w:t>
      </w:r>
      <w:r>
        <w:rPr>
          <w:rFonts w:ascii="Arial" w:cs="Arial" w:eastAsia="Arial" w:hAnsi="Arial"/>
          <w:sz w:val="18"/>
          <w:szCs w:val="18"/>
          <w:b w:val="1"/>
          <w:bCs w:val="1"/>
          <w:color w:val="auto"/>
        </w:rPr>
        <w:t>Option</w:t>
      </w:r>
      <w:r>
        <w:rPr>
          <w:rFonts w:ascii="Arial" w:cs="Arial" w:eastAsia="Arial" w:hAnsi="Arial"/>
          <w:sz w:val="18"/>
          <w:szCs w:val="18"/>
          <w:color w:val="auto"/>
        </w:rPr>
        <w:t>" means an option to purchase a Share according to the provisions of this Plan.</w:t>
      </w:r>
    </w:p>
    <w:p>
      <w:pPr>
        <w:spacing w:after="0" w:line="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2.11.   “</w:t>
      </w:r>
      <w:r>
        <w:rPr>
          <w:rFonts w:ascii="Arial" w:cs="Arial" w:eastAsia="Arial" w:hAnsi="Arial"/>
          <w:sz w:val="18"/>
          <w:szCs w:val="18"/>
          <w:b w:val="1"/>
          <w:bCs w:val="1"/>
          <w:color w:val="auto"/>
        </w:rPr>
        <w:t>Option Grant</w:t>
      </w:r>
      <w:r>
        <w:rPr>
          <w:rFonts w:ascii="Arial" w:cs="Arial" w:eastAsia="Arial" w:hAnsi="Arial"/>
          <w:sz w:val="18"/>
          <w:szCs w:val="18"/>
          <w:color w:val="auto"/>
        </w:rPr>
        <w:t>” means a single grant of Options to a certain Participant as determined by the Board or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64"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Grant Letter Agreement</w:t>
      </w:r>
      <w:r>
        <w:rPr>
          <w:rFonts w:ascii="Arial" w:cs="Arial" w:eastAsia="Arial" w:hAnsi="Arial"/>
          <w:sz w:val="16"/>
          <w:szCs w:val="16"/>
          <w:color w:val="auto"/>
        </w:rPr>
        <w:t xml:space="preserve">" means the notice letter attached to this Plan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2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 person or entity that has been granted Options.</w:t>
      </w:r>
    </w:p>
    <w:p>
      <w:pPr>
        <w:spacing w:after="0" w:line="9" w:lineRule="exact"/>
        <w:rPr>
          <w:sz w:val="20"/>
          <w:szCs w:val="20"/>
          <w:color w:val="auto"/>
        </w:rPr>
      </w:pPr>
    </w:p>
    <w:p>
      <w:pPr>
        <w:jc w:val="both"/>
        <w:ind w:left="1920" w:hanging="634"/>
        <w:spacing w:after="0" w:line="281" w:lineRule="auto"/>
        <w:tabs>
          <w:tab w:leader="none" w:pos="19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Related Entity</w:t>
      </w:r>
      <w:r>
        <w:rPr>
          <w:rFonts w:ascii="Arial" w:cs="Arial" w:eastAsia="Arial" w:hAnsi="Arial"/>
          <w:sz w:val="16"/>
          <w:szCs w:val="16"/>
          <w:color w:val="auto"/>
        </w:rPr>
        <w:t>” means any parent or subsidiary of the Company. In addition, Related Entity shall include any business, corporation, partnership, limited liability company or other entity in which the Company, or the Company’s parent or a subsidiary holds a substantial ownership and/or interest, directly or indirectly, and is determined by the Board to be a Related Entity.</w:t>
      </w:r>
    </w:p>
    <w:p>
      <w:pPr>
        <w:spacing w:after="0" w:line="2"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Service Provider</w:t>
      </w:r>
      <w:r>
        <w:rPr>
          <w:rFonts w:ascii="Arial" w:cs="Arial" w:eastAsia="Arial" w:hAnsi="Arial"/>
          <w:sz w:val="18"/>
          <w:szCs w:val="18"/>
          <w:color w:val="auto"/>
        </w:rPr>
        <w:t>” means a person or entity who is engaged by the Company or any Related Entity to render services (e.g., consulting services, advisory services, development services, marketing and sale services or any other services, including suppliers) to the Company or a Related Entity.</w:t>
      </w:r>
    </w:p>
    <w:p>
      <w:pPr>
        <w:spacing w:after="0" w:line="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the Company’s Ordinary Share of NIS 0.01 par value, or that was issued following an exercise of an Option.</w:t>
      </w:r>
    </w:p>
    <w:p>
      <w:pPr>
        <w:spacing w:after="0" w:line="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Total Option Amount</w:t>
      </w:r>
      <w:r>
        <w:rPr>
          <w:rFonts w:ascii="Arial" w:cs="Arial" w:eastAsia="Arial" w:hAnsi="Arial"/>
          <w:sz w:val="16"/>
          <w:szCs w:val="16"/>
          <w:color w:val="auto"/>
        </w:rPr>
        <w:t>” means the amount of Options granted to a Participant in a single Option Grant.</w:t>
      </w:r>
    </w:p>
    <w:p>
      <w:pPr>
        <w:spacing w:after="0" w:line="207" w:lineRule="exact"/>
        <w:rPr>
          <w:sz w:val="20"/>
          <w:szCs w:val="20"/>
          <w:color w:val="auto"/>
        </w:rPr>
      </w:pPr>
    </w:p>
    <w:p>
      <w:pPr>
        <w:ind w:left="640" w:hanging="632"/>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56" w:lineRule="exact"/>
        <w:rPr>
          <w:sz w:val="20"/>
          <w:szCs w:val="20"/>
          <w:color w:val="auto"/>
        </w:rPr>
      </w:pPr>
    </w:p>
    <w:p>
      <w:pPr>
        <w:jc w:val="both"/>
        <w:ind w:left="1920" w:hanging="634"/>
        <w:spacing w:after="0" w:line="267" w:lineRule="auto"/>
        <w:tabs>
          <w:tab w:leader="none" w:pos="1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provisions of the Plan, any applicable law, the Articles and any other binding commitments taken by the Company, the Board or the Committee shall have the power and authority to administer the Plan. Such power and authority shall include, but not be limited to: (i) approval of Option Grants and the determination of the terms and provisions of respective Option Grants, including, the vesting schedules of the Options; the Exercise Price thereof; provisions concerning the time or times when and the extent to which Options may be exercised; the nature and duration of restrictions as to transferability; or any other special conditions relating to an Option Grant; (ii) the acceleration of any Participant’s right to exercise Options, in whole or in part; (iii) the interpretation of the provisions of the Plan; (iv) altering, amending or rescinding any resolution or act previously taken by the Committee; and (v) the determination of any other matter which is necessary or desirable for, or incidental to, the administration of the Plan, as set forth in the Plan.</w:t>
      </w:r>
    </w:p>
    <w:p>
      <w:pPr>
        <w:spacing w:after="0" w:line="2" w:lineRule="exact"/>
        <w:rPr>
          <w:sz w:val="20"/>
          <w:szCs w:val="20"/>
          <w:color w:val="auto"/>
        </w:rPr>
      </w:pPr>
    </w:p>
    <w:p>
      <w:pPr>
        <w:jc w:val="both"/>
        <w:ind w:left="1920" w:hanging="634"/>
        <w:spacing w:after="0" w:line="261" w:lineRule="auto"/>
        <w:tabs>
          <w:tab w:leader="none" w:pos="1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Notwithstanding the above, the Board shall have the power and authority to take any act the Committee is empowered and authorized to take, and to alter amend or rescind any act or resolution taken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68"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Committee shall consist of such number of directors as may be appointed by the Board.</w:t>
      </w:r>
    </w:p>
    <w:p>
      <w:pPr>
        <w:spacing w:after="0" w:line="23" w:lineRule="exact"/>
        <w:rPr>
          <w:sz w:val="20"/>
          <w:szCs w:val="20"/>
          <w:color w:val="auto"/>
        </w:rPr>
      </w:pPr>
    </w:p>
    <w:p>
      <w:pPr>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Board shall have the exclusive discretion and power to grant Options. Such power may be delegated by the Board to the Committee subject to the provisions of the Companies Law.</w:t>
      </w:r>
    </w:p>
    <w:p>
      <w:pPr>
        <w:spacing w:after="0" w:line="1" w:lineRule="exact"/>
        <w:rPr>
          <w:sz w:val="20"/>
          <w:szCs w:val="20"/>
          <w:color w:val="auto"/>
        </w:rPr>
      </w:pPr>
    </w:p>
    <w:p>
      <w:pPr>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All Committee resolutions and decisions, including the interpretation and construction of any provision of the Plan, shall be final and conclusive unless otherwise determined by the Board.</w:t>
      </w:r>
    </w:p>
    <w:p>
      <w:pPr>
        <w:spacing w:after="0" w:line="1" w:lineRule="exact"/>
        <w:rPr>
          <w:sz w:val="20"/>
          <w:szCs w:val="20"/>
          <w:color w:val="auto"/>
        </w:rPr>
      </w:pPr>
    </w:p>
    <w:p>
      <w:pPr>
        <w:ind w:left="1920" w:hanging="634"/>
        <w:spacing w:after="0" w:line="261" w:lineRule="auto"/>
        <w:tabs>
          <w:tab w:leader="none" w:pos="19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No member of the Board or of the Committee shall be held liable for any act or determination made in good faith with respect to the Plan or any Option Grant.</w:t>
      </w:r>
    </w:p>
    <w:p>
      <w:pPr>
        <w:spacing w:after="0" w:line="180" w:lineRule="exact"/>
        <w:rPr>
          <w:sz w:val="20"/>
          <w:szCs w:val="20"/>
          <w:color w:val="auto"/>
        </w:rPr>
      </w:pPr>
    </w:p>
    <w:p>
      <w:pPr>
        <w:ind w:left="640" w:hanging="632"/>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SHARES RESERVED FOR THE PLAN</w:t>
      </w:r>
    </w:p>
    <w:p>
      <w:pPr>
        <w:spacing w:after="0" w:line="256" w:lineRule="exact"/>
        <w:rPr>
          <w:sz w:val="20"/>
          <w:szCs w:val="20"/>
          <w:color w:val="auto"/>
        </w:rPr>
      </w:pPr>
    </w:p>
    <w:p>
      <w:pPr>
        <w:ind w:left="1920" w:hanging="634"/>
        <w:spacing w:after="0" w:line="258" w:lineRule="auto"/>
        <w:tabs>
          <w:tab w:leader="none" w:pos="1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Subject to adjustments, as set forth in Section 9 below, a total of 3,078,102 Ordinary Shares, of NIS 0.01 par value each, from the Company’s authorized share capital shall be reserved and subject to the Plan (the “</w:t>
      </w:r>
      <w:r>
        <w:rPr>
          <w:rFonts w:ascii="Arial" w:cs="Arial" w:eastAsia="Arial" w:hAnsi="Arial"/>
          <w:sz w:val="18"/>
          <w:szCs w:val="18"/>
          <w:b w:val="1"/>
          <w:bCs w:val="1"/>
          <w:color w:val="auto"/>
        </w:rPr>
        <w:t>Reserved Shares</w:t>
      </w:r>
      <w:r>
        <w:rPr>
          <w:rFonts w:ascii="Arial" w:cs="Arial" w:eastAsia="Arial" w:hAnsi="Arial"/>
          <w:sz w:val="18"/>
          <w:szCs w:val="18"/>
          <w:color w:val="auto"/>
        </w:rPr>
        <w:t>”).</w:t>
      </w:r>
    </w:p>
    <w:p>
      <w:pPr>
        <w:spacing w:after="0" w:line="1" w:lineRule="exact"/>
        <w:rPr>
          <w:sz w:val="20"/>
          <w:szCs w:val="20"/>
          <w:color w:val="auto"/>
        </w:rPr>
      </w:pPr>
    </w:p>
    <w:p>
      <w:pPr>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Until termination of the Plan the Company shall at all times reserve sufficient number of Ordinary Shares in its authorized share capital to cover for all Reserved Shares that were not issued.</w:t>
      </w:r>
    </w:p>
    <w:p>
      <w:pPr>
        <w:spacing w:after="0" w:line="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Without derogating from Section 4.2 above:</w:t>
      </w:r>
    </w:p>
    <w:p>
      <w:pPr>
        <w:spacing w:after="0" w:line="9" w:lineRule="exact"/>
        <w:rPr>
          <w:sz w:val="20"/>
          <w:szCs w:val="20"/>
          <w:color w:val="auto"/>
        </w:rPr>
      </w:pPr>
    </w:p>
    <w:p>
      <w:pPr>
        <w:ind w:left="1920" w:right="20" w:hanging="634"/>
        <w:spacing w:after="0" w:line="250" w:lineRule="auto"/>
        <w:tabs>
          <w:tab w:leader="none" w:pos="1900" w:val="left"/>
        </w:tabs>
        <w:rPr>
          <w:sz w:val="20"/>
          <w:szCs w:val="20"/>
          <w:color w:val="auto"/>
        </w:rPr>
      </w:pPr>
      <w:r>
        <w:rPr>
          <w:rFonts w:ascii="Arial" w:cs="Arial" w:eastAsia="Arial" w:hAnsi="Arial"/>
          <w:sz w:val="18"/>
          <w:szCs w:val="18"/>
          <w:color w:val="auto"/>
        </w:rPr>
        <w:t>4.3.1.</w:t>
        <w:tab/>
        <w:t>The Company need not reserve Shares with respect to Options that terminated, expired or were canceled for any reason prior to exercise thereof.</w:t>
      </w:r>
    </w:p>
    <w:p>
      <w:pPr>
        <w:spacing w:after="0" w:line="1" w:lineRule="exact"/>
        <w:rPr>
          <w:sz w:val="20"/>
          <w:szCs w:val="20"/>
          <w:color w:val="auto"/>
        </w:rPr>
      </w:pPr>
    </w:p>
    <w:p>
      <w:pPr>
        <w:ind w:left="1920" w:hanging="634"/>
        <w:spacing w:after="0" w:line="261" w:lineRule="auto"/>
        <w:tabs>
          <w:tab w:leader="none" w:pos="1900" w:val="left"/>
        </w:tabs>
        <w:rPr>
          <w:sz w:val="20"/>
          <w:szCs w:val="20"/>
          <w:color w:val="auto"/>
        </w:rPr>
      </w:pPr>
      <w:r>
        <w:rPr>
          <w:rFonts w:ascii="Arial" w:cs="Arial" w:eastAsia="Arial" w:hAnsi="Arial"/>
          <w:sz w:val="18"/>
          <w:szCs w:val="18"/>
          <w:color w:val="auto"/>
        </w:rPr>
        <w:t>4.3.2.</w:t>
        <w:tab/>
        <w:t>In the case that there are certain Reserved Shares, which remain unissued and which are not subject to outstanding Options, then the Board may resolve that such Reserved Shares shall cease to be reserved.</w:t>
      </w:r>
    </w:p>
    <w:p>
      <w:pPr>
        <w:spacing w:after="0" w:line="180" w:lineRule="exact"/>
        <w:rPr>
          <w:sz w:val="20"/>
          <w:szCs w:val="20"/>
          <w:color w:val="auto"/>
        </w:rPr>
      </w:pPr>
    </w:p>
    <w:p>
      <w:pPr>
        <w:ind w:left="640" w:hanging="632"/>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PARTICIPANTS; OPTION GRANTS</w:t>
      </w:r>
    </w:p>
    <w:p>
      <w:pPr>
        <w:spacing w:after="0" w:line="25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Board may grant Option Grants to the following persons and entities:</w:t>
      </w:r>
    </w:p>
    <w:p>
      <w:pPr>
        <w:spacing w:after="0" w:line="23"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Employees.</w:t>
      </w:r>
    </w:p>
    <w:p>
      <w:pPr>
        <w:spacing w:after="0" w:line="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Service Providers and their employees.</w:t>
      </w:r>
    </w:p>
    <w:p>
      <w:pPr>
        <w:spacing w:after="0" w:line="9" w:lineRule="exact"/>
        <w:rPr>
          <w:sz w:val="20"/>
          <w:szCs w:val="20"/>
          <w:color w:val="auto"/>
        </w:rPr>
      </w:pPr>
    </w:p>
    <w:p>
      <w:pPr>
        <w:ind w:left="1920" w:right="20" w:hanging="634"/>
        <w:spacing w:after="0" w:line="261" w:lineRule="auto"/>
        <w:tabs>
          <w:tab w:leader="none" w:pos="1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determined otherwise by the Board or Committee, a Participant shall not be required to pay any consideration for an Option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6" w:name="page107"/>
    <w:bookmarkEnd w:id="106"/>
    <w:p>
      <w:pPr>
        <w:jc w:val="center"/>
        <w:ind w:right="-11"/>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37" w:lineRule="exact"/>
        <w:rPr>
          <w:sz w:val="20"/>
          <w:szCs w:val="20"/>
          <w:color w:val="auto"/>
        </w:rPr>
      </w:pPr>
    </w:p>
    <w:p>
      <w:pPr>
        <w:ind w:left="632" w:hanging="632"/>
        <w:spacing w:after="0"/>
        <w:tabs>
          <w:tab w:leader="none" w:pos="63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VESTING; EXERCISE PERIOD</w:t>
      </w:r>
    </w:p>
    <w:p>
      <w:pPr>
        <w:spacing w:after="0" w:line="256" w:lineRule="exact"/>
        <w:rPr>
          <w:sz w:val="20"/>
          <w:szCs w:val="20"/>
          <w:color w:val="auto"/>
        </w:rPr>
      </w:pPr>
    </w:p>
    <w:p>
      <w:pPr>
        <w:jc w:val="both"/>
        <w:ind w:left="1912" w:hanging="634"/>
        <w:spacing w:after="0" w:line="256" w:lineRule="auto"/>
        <w:tabs>
          <w:tab w:leader="none" w:pos="189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Unless determined otherwise by the Committee or Board, upon approval of the Option Grant or thereafter, Options underlying an Option Grant shall vest over four years, commencing on the vesting commencement date (the "</w:t>
      </w:r>
      <w:r>
        <w:rPr>
          <w:rFonts w:ascii="Arial" w:cs="Arial" w:eastAsia="Arial" w:hAnsi="Arial"/>
          <w:sz w:val="18"/>
          <w:szCs w:val="18"/>
          <w:b w:val="1"/>
          <w:bCs w:val="1"/>
          <w:color w:val="auto"/>
        </w:rPr>
        <w:t>Vesting Commencement Date</w:t>
      </w:r>
      <w:r>
        <w:rPr>
          <w:rFonts w:ascii="Arial" w:cs="Arial" w:eastAsia="Arial" w:hAnsi="Arial"/>
          <w:sz w:val="18"/>
          <w:szCs w:val="18"/>
          <w:color w:val="auto"/>
        </w:rPr>
        <w:t>") as determined by the Committee.</w:t>
      </w:r>
    </w:p>
    <w:p>
      <w:pPr>
        <w:ind w:left="1272"/>
        <w:spacing w:after="0"/>
        <w:tabs>
          <w:tab w:leader="none" w:pos="189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vesting schedule of each Option Grant shall be as determined by the Committee. However, unless determined otherwise by the</w:t>
      </w:r>
    </w:p>
    <w:p>
      <w:pPr>
        <w:spacing w:after="0" w:line="9" w:lineRule="exact"/>
        <w:rPr>
          <w:sz w:val="20"/>
          <w:szCs w:val="20"/>
          <w:color w:val="auto"/>
        </w:rPr>
      </w:pPr>
    </w:p>
    <w:p>
      <w:pPr>
        <w:ind w:left="1912"/>
        <w:spacing w:after="0"/>
        <w:rPr>
          <w:sz w:val="20"/>
          <w:szCs w:val="20"/>
          <w:color w:val="auto"/>
        </w:rPr>
      </w:pPr>
      <w:r>
        <w:rPr>
          <w:rFonts w:ascii="Arial" w:cs="Arial" w:eastAsia="Arial" w:hAnsi="Arial"/>
          <w:sz w:val="18"/>
          <w:szCs w:val="18"/>
          <w:color w:val="auto"/>
        </w:rPr>
        <w:t>Committee or Board, upon approval of the Option Grant or thereafter, the following shall apply:</w:t>
      </w:r>
    </w:p>
    <w:p>
      <w:pPr>
        <w:spacing w:after="0" w:line="9" w:lineRule="exact"/>
        <w:rPr>
          <w:sz w:val="20"/>
          <w:szCs w:val="20"/>
          <w:color w:val="auto"/>
        </w:rPr>
      </w:pPr>
    </w:p>
    <w:p>
      <w:pPr>
        <w:jc w:val="both"/>
        <w:ind w:left="1912" w:right="20"/>
        <w:spacing w:after="0" w:line="250" w:lineRule="auto"/>
        <w:rPr>
          <w:sz w:val="20"/>
          <w:szCs w:val="20"/>
          <w:color w:val="auto"/>
        </w:rPr>
      </w:pPr>
      <w:r>
        <w:rPr>
          <w:rFonts w:ascii="Arial" w:cs="Arial" w:eastAsia="Arial" w:hAnsi="Arial"/>
          <w:sz w:val="18"/>
          <w:szCs w:val="18"/>
          <w:color w:val="auto"/>
        </w:rPr>
        <w:t>25% of the Total Option Amount shall vest on the first anniversary of the Vesting Commencement Date, and additional 6.25% of the Total Option Amount shall vest on the last day of each three months period immediately after the first anniversary of the Vesting Commencement Date.</w:t>
      </w:r>
    </w:p>
    <w:p>
      <w:pPr>
        <w:spacing w:after="0" w:line="1" w:lineRule="exact"/>
        <w:rPr>
          <w:sz w:val="20"/>
          <w:szCs w:val="20"/>
          <w:color w:val="auto"/>
        </w:rPr>
      </w:pPr>
    </w:p>
    <w:p>
      <w:pPr>
        <w:jc w:val="both"/>
        <w:ind w:left="1912" w:right="20"/>
        <w:spacing w:after="0" w:line="250" w:lineRule="auto"/>
        <w:rPr>
          <w:sz w:val="20"/>
          <w:szCs w:val="20"/>
          <w:color w:val="auto"/>
        </w:rPr>
      </w:pPr>
      <w:r>
        <w:rPr>
          <w:rFonts w:ascii="Arial" w:cs="Arial" w:eastAsia="Arial" w:hAnsi="Arial"/>
          <w:sz w:val="18"/>
          <w:szCs w:val="18"/>
          <w:color w:val="auto"/>
        </w:rPr>
        <w:t>In the case that as a consequence of the vesting schedule mentioned above a fraction of vested Option is created, then such fraction shall be rounded up or down, as determined by the Board.</w:t>
      </w:r>
    </w:p>
    <w:p>
      <w:pPr>
        <w:spacing w:after="0" w:line="1" w:lineRule="exact"/>
        <w:rPr>
          <w:sz w:val="20"/>
          <w:szCs w:val="20"/>
          <w:color w:val="auto"/>
        </w:rPr>
      </w:pPr>
    </w:p>
    <w:p>
      <w:pPr>
        <w:jc w:val="both"/>
        <w:ind w:left="1912" w:hanging="634"/>
        <w:spacing w:after="0" w:line="250" w:lineRule="auto"/>
        <w:tabs>
          <w:tab w:leader="none" w:pos="189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Notwithstanding anything to the contrary in this Plan, all Options shall terminate and not bestow any rights on their owner after ten years from the date the Options were granted. All Options that have not been exercised by such date shall expire immediately and the Participants shall not have any claim against the Company with respect thereto.</w:t>
      </w:r>
    </w:p>
    <w:p>
      <w:pPr>
        <w:spacing w:after="0" w:line="1" w:lineRule="exact"/>
        <w:rPr>
          <w:sz w:val="20"/>
          <w:szCs w:val="20"/>
          <w:color w:val="auto"/>
        </w:rPr>
      </w:pPr>
    </w:p>
    <w:p>
      <w:pPr>
        <w:jc w:val="both"/>
        <w:ind w:left="1912" w:hanging="634"/>
        <w:spacing w:after="0" w:line="255" w:lineRule="auto"/>
        <w:tabs>
          <w:tab w:leader="none" w:pos="189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 xml:space="preserve">The period within which Options are exercisable shall be called the </w:t>
      </w:r>
      <w:r>
        <w:rPr>
          <w:rFonts w:ascii="Arial" w:cs="Arial" w:eastAsia="Arial" w:hAnsi="Arial"/>
          <w:sz w:val="18"/>
          <w:szCs w:val="18"/>
          <w:b w:val="1"/>
          <w:bCs w:val="1"/>
          <w:color w:val="auto"/>
        </w:rPr>
        <w:t>“Exercise Period”</w:t>
      </w:r>
      <w:r>
        <w:rPr>
          <w:rFonts w:ascii="Arial" w:cs="Arial" w:eastAsia="Arial" w:hAnsi="Arial"/>
          <w:sz w:val="18"/>
          <w:szCs w:val="18"/>
          <w:color w:val="auto"/>
        </w:rPr>
        <w:t>. Options which have not been exercised during the Exercise Period shall expire immediately, and will be automatically returned to the Options pool and may be re-allocated.</w:t>
      </w:r>
    </w:p>
    <w:p>
      <w:pPr>
        <w:spacing w:after="0" w:line="186" w:lineRule="exact"/>
        <w:rPr>
          <w:sz w:val="20"/>
          <w:szCs w:val="20"/>
          <w:color w:val="auto"/>
        </w:rPr>
      </w:pPr>
    </w:p>
    <w:p>
      <w:pPr>
        <w:ind w:left="632" w:hanging="632"/>
        <w:spacing w:after="0"/>
        <w:tabs>
          <w:tab w:leader="none" w:pos="63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WITH THE GROUP</w:t>
      </w:r>
    </w:p>
    <w:p>
      <w:pPr>
        <w:spacing w:after="0" w:line="229" w:lineRule="exact"/>
        <w:rPr>
          <w:rFonts w:ascii="Arial" w:cs="Arial" w:eastAsia="Arial" w:hAnsi="Arial"/>
          <w:sz w:val="18"/>
          <w:szCs w:val="18"/>
          <w:b w:val="1"/>
          <w:bCs w:val="1"/>
          <w:color w:val="auto"/>
        </w:rPr>
      </w:pPr>
    </w:p>
    <w:p>
      <w:pPr>
        <w:jc w:val="both"/>
        <w:ind w:left="63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the event that the Participant is an Employee at the time of the Option Grant, whose employment with the Group was subsequently terminated, for whatever reason but subject to Section 7.6 (including but not limited to (i) dismissal of a Participant or (ii) a Participant’s resignation, or (iii) death of a Participant or (iv) disability of a Participant), then the following provisions shall apply:</w:t>
      </w:r>
    </w:p>
    <w:p>
      <w:pPr>
        <w:ind w:left="1912" w:hanging="635"/>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7"/>
          <w:szCs w:val="17"/>
          <w:color w:val="auto"/>
        </w:rPr>
        <w:t>The date on which employment was terminated under applicable labor laws, or, in the case an Employee is not an employee under applicable labor laws the date in which such Employee ceases to be an Employee as defined in the Plan, shall be deemed the date in which such Employee’s employment was terminated (</w:t>
      </w:r>
      <w:r>
        <w:rPr>
          <w:rFonts w:ascii="Arial" w:cs="Arial" w:eastAsia="Arial" w:hAnsi="Arial"/>
          <w:sz w:val="17"/>
          <w:szCs w:val="17"/>
          <w:b w:val="1"/>
          <w:bCs w:val="1"/>
          <w:color w:val="auto"/>
        </w:rPr>
        <w:t>“Employment Termination Date”</w:t>
      </w:r>
      <w:r>
        <w:rPr>
          <w:rFonts w:ascii="Arial" w:cs="Arial" w:eastAsia="Arial" w:hAnsi="Arial"/>
          <w:sz w:val="17"/>
          <w:szCs w:val="17"/>
          <w:color w:val="auto"/>
        </w:rPr>
        <w:t>).</w:t>
      </w:r>
    </w:p>
    <w:p>
      <w:pPr>
        <w:ind w:left="1272"/>
        <w:spacing w:after="0"/>
        <w:rPr>
          <w:rFonts w:ascii="Arial" w:cs="Arial" w:eastAsia="Arial" w:hAnsi="Arial"/>
          <w:sz w:val="18"/>
          <w:szCs w:val="18"/>
          <w:b w:val="1"/>
          <w:bCs w:val="1"/>
          <w:color w:val="auto"/>
        </w:rPr>
      </w:pPr>
      <w:r>
        <w:rPr>
          <w:rFonts w:ascii="Arial" w:cs="Arial" w:eastAsia="Arial" w:hAnsi="Arial"/>
          <w:sz w:val="18"/>
          <w:szCs w:val="18"/>
          <w:color w:val="auto"/>
        </w:rPr>
        <w:t>7.2.</w:t>
      </w:r>
      <w:r>
        <w:rPr>
          <w:rFonts w:ascii="Arial" w:cs="Arial" w:eastAsia="Arial" w:hAnsi="Arial"/>
          <w:sz w:val="16"/>
          <w:szCs w:val="16"/>
          <w:color w:val="auto"/>
        </w:rPr>
        <w:t>On the Employment Termination Date all Options that are not vested shall immediately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434340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233"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68" w:lineRule="exact"/>
        <w:rPr>
          <w:sz w:val="20"/>
          <w:szCs w:val="20"/>
          <w:color w:val="auto"/>
        </w:rPr>
      </w:pPr>
    </w:p>
    <w:p>
      <w:pPr>
        <w:jc w:val="both"/>
        <w:ind w:left="1920" w:hanging="634"/>
        <w:spacing w:after="0" w:line="254" w:lineRule="auto"/>
        <w:tabs>
          <w:tab w:leader="none" w:pos="19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In the event that the Participant's termination of employment is not due to the Participant's death (but does include termination due to Disability), then the Participant will be entitled to exercise all, or part of, the vested Options that have not expired, for a period of thirty (30) days after the Employment Termination Date. After such thirty days period, all unexercised Options will automatically expire.</w:t>
      </w:r>
    </w:p>
    <w:p>
      <w:pPr>
        <w:spacing w:after="0" w:line="2" w:lineRule="exact"/>
        <w:rPr>
          <w:sz w:val="20"/>
          <w:szCs w:val="20"/>
          <w:color w:val="auto"/>
        </w:rPr>
      </w:pPr>
    </w:p>
    <w:p>
      <w:pPr>
        <w:jc w:val="both"/>
        <w:ind w:left="1920"/>
        <w:spacing w:after="0" w:line="250" w:lineRule="auto"/>
        <w:rPr>
          <w:sz w:val="20"/>
          <w:szCs w:val="20"/>
          <w:color w:val="auto"/>
        </w:rPr>
      </w:pPr>
      <w:r>
        <w:rPr>
          <w:rFonts w:ascii="Arial" w:cs="Arial" w:eastAsia="Arial" w:hAnsi="Arial"/>
          <w:sz w:val="18"/>
          <w:szCs w:val="18"/>
          <w:color w:val="auto"/>
        </w:rPr>
        <w:t>For purposes of this Section 7.3, "Disability" shall mean the inability in 100%, due to illness or injury, to engage in any gainful occupation for which the individual is suited by education, training or experience, which condition continues for at least six (6) months.</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Notwithstanding the above, in the event of termination of employment due to the Participant's death or Disability, the Participant (if applicable) or Participant's estate, or other person who acquired the right to exercise the Options by way of bequest or inheritance, may, but only within six (6) months after the date of such death or the Employment Termination Date (in the case of Disability), exercise all, or part of, the vested Options that have not expired. After such six (6) months period, all unexercised options shall automatically expire.</w:t>
      </w:r>
    </w:p>
    <w:p>
      <w:pPr>
        <w:spacing w:after="0" w:line="2" w:lineRule="exact"/>
        <w:rPr>
          <w:sz w:val="20"/>
          <w:szCs w:val="20"/>
          <w:color w:val="auto"/>
        </w:rPr>
      </w:pPr>
    </w:p>
    <w:p>
      <w:pPr>
        <w:jc w:val="both"/>
        <w:ind w:left="1920" w:hanging="634"/>
        <w:spacing w:after="0" w:line="265" w:lineRule="auto"/>
        <w:tabs>
          <w:tab w:leader="none" w:pos="19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Notwithstanding Section 7.3 above, all Options granted to a certain Employee (whether vested or unvested) will immediately expire if the termination of the Participant’s employment is due to Participant’s breach of his/her employment agreement (whether written or oral) including without limitation, a breach of non compete obligations, or breach of his/her fiduciary duties towards the Company or a Related Entity as determined by the Committee or the Board, in their sole discretion, or in the case that competent court or other authority resolves that such employee is not entitled to discharge compensation.</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For the purposes of this Plan, the Committee or Board is authorized to determine if and when a Participant terminated his/her employment with the Company, and due to what reason, subject to the provisions of Israeli labor laws with respect to Israeli employees.</w:t>
      </w:r>
    </w:p>
    <w:p>
      <w:pPr>
        <w:spacing w:after="0" w:line="1" w:lineRule="exact"/>
        <w:rPr>
          <w:sz w:val="20"/>
          <w:szCs w:val="20"/>
          <w:color w:val="auto"/>
        </w:rPr>
      </w:pPr>
    </w:p>
    <w:p>
      <w:pPr>
        <w:jc w:val="both"/>
        <w:ind w:left="1920" w:hanging="634"/>
        <w:spacing w:after="0" w:line="261" w:lineRule="auto"/>
        <w:tabs>
          <w:tab w:leader="none" w:pos="19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Committee or the Board shall be entitled, prospectively and retroactively, to extend the periods in which Options (either vested or unvested) do not expire and remain exercisable after the Employment Termination Date.</w:t>
      </w:r>
    </w:p>
    <w:p>
      <w:pPr>
        <w:spacing w:after="0" w:line="180" w:lineRule="exact"/>
        <w:rPr>
          <w:sz w:val="20"/>
          <w:szCs w:val="20"/>
          <w:color w:val="auto"/>
        </w:rPr>
      </w:pPr>
    </w:p>
    <w:p>
      <w:pPr>
        <w:ind w:left="640" w:hanging="632"/>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ENGAGEMENT WITH THE GROUP</w:t>
      </w:r>
    </w:p>
    <w:p>
      <w:pPr>
        <w:spacing w:after="0" w:line="229" w:lineRule="exact"/>
        <w:rPr>
          <w:rFonts w:ascii="Arial" w:cs="Arial" w:eastAsia="Arial" w:hAnsi="Arial"/>
          <w:sz w:val="18"/>
          <w:szCs w:val="18"/>
          <w:b w:val="1"/>
          <w:bCs w:val="1"/>
          <w:color w:val="auto"/>
        </w:rPr>
      </w:pPr>
    </w:p>
    <w:p>
      <w:pPr>
        <w:jc w:val="both"/>
        <w:ind w:left="6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the event that a Participant is not an Employee, and the agreement of such Participant with the Group is terminated, then, unless otherwise specified in the Option Grant Letter Agreement, or otherwise determined by the Committee, on the date of such termination, all Options that have not vested by then shall expire and the vested options shall remain exercisable as specified in sections 7.3, 7.4 or 7.5, as the case may be, which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such Participant (where if such Participant has more than one agreement with the Group, then the foregoing shall apply to the Options underlying the terminated agreement or issued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5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Merger, Sale of the Company or Sale of the Company’s Assets.</w:t>
      </w:r>
    </w:p>
    <w:p>
      <w:pPr>
        <w:spacing w:after="0" w:line="23" w:lineRule="exact"/>
        <w:rPr>
          <w:sz w:val="20"/>
          <w:szCs w:val="20"/>
          <w:color w:val="auto"/>
        </w:rPr>
      </w:pPr>
    </w:p>
    <w:p>
      <w:pPr>
        <w:jc w:val="both"/>
        <w:ind w:left="1280" w:right="20"/>
        <w:spacing w:after="0" w:line="281" w:lineRule="auto"/>
        <w:rPr>
          <w:sz w:val="20"/>
          <w:szCs w:val="20"/>
          <w:color w:val="auto"/>
        </w:rPr>
      </w:pPr>
      <w:r>
        <w:rPr>
          <w:rFonts w:ascii="Arial" w:cs="Arial" w:eastAsia="Arial" w:hAnsi="Arial"/>
          <w:sz w:val="16"/>
          <w:szCs w:val="16"/>
          <w:color w:val="auto"/>
        </w:rPr>
        <w:t>In the event of a merger of the Company into another corporation, in a way that the Company shall no longer continue to exist as a legal entity subsequent to such merger, the sale of all, or substantially all of the Company’s issued and outstanding shares to a third party or the sale of all, or substantially all of the assets of the Company (each of them, a “</w:t>
      </w:r>
      <w:r>
        <w:rPr>
          <w:rFonts w:ascii="Arial" w:cs="Arial" w:eastAsia="Arial" w:hAnsi="Arial"/>
          <w:sz w:val="16"/>
          <w:szCs w:val="16"/>
          <w:b w:val="1"/>
          <w:bCs w:val="1"/>
          <w:color w:val="auto"/>
        </w:rPr>
        <w:t>Transaction</w:t>
      </w:r>
      <w:r>
        <w:rPr>
          <w:rFonts w:ascii="Arial" w:cs="Arial" w:eastAsia="Arial" w:hAnsi="Arial"/>
          <w:sz w:val="16"/>
          <w:szCs w:val="16"/>
          <w:color w:val="auto"/>
        </w:rPr>
        <w:t>”), then the following provisions shall apply:</w:t>
      </w:r>
    </w:p>
    <w:p>
      <w:pPr>
        <w:spacing w:after="0" w:line="2" w:lineRule="exact"/>
        <w:rPr>
          <w:sz w:val="20"/>
          <w:szCs w:val="20"/>
          <w:color w:val="auto"/>
        </w:rPr>
      </w:pPr>
    </w:p>
    <w:p>
      <w:pPr>
        <w:jc w:val="both"/>
        <w:ind w:left="1920" w:right="20" w:hanging="634"/>
        <w:spacing w:after="0" w:line="250" w:lineRule="auto"/>
        <w:tabs>
          <w:tab w:leader="none" w:pos="1900" w:val="left"/>
        </w:tabs>
        <w:rPr>
          <w:sz w:val="20"/>
          <w:szCs w:val="20"/>
          <w:color w:val="auto"/>
        </w:rPr>
      </w:pPr>
      <w:r>
        <w:rPr>
          <w:rFonts w:ascii="Arial" w:cs="Arial" w:eastAsia="Arial" w:hAnsi="Arial"/>
          <w:sz w:val="18"/>
          <w:szCs w:val="18"/>
          <w:color w:val="auto"/>
        </w:rPr>
        <w:t>9.1.1.</w:t>
        <w:tab/>
        <w:t>Each outstanding Option shall be assumed by, or an equivalent option shall be substituted by the successor corporation or a parent or subsidiary of the successor corporation.</w:t>
      </w:r>
    </w:p>
    <w:p>
      <w:pPr>
        <w:spacing w:after="0" w:line="1" w:lineRule="exact"/>
        <w:rPr>
          <w:sz w:val="20"/>
          <w:szCs w:val="20"/>
          <w:color w:val="auto"/>
        </w:rPr>
      </w:pPr>
    </w:p>
    <w:p>
      <w:pPr>
        <w:jc w:val="both"/>
        <w:ind w:left="1920" w:hanging="634"/>
        <w:spacing w:after="0" w:line="265" w:lineRule="auto"/>
        <w:tabs>
          <w:tab w:leader="none" w:pos="190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In the event that the successor corporation does not agree to assume the Options or to substitute them with equivalent options, the Committee may in lieu of such assumption or substitution, provide for the Participant to have the right to exercise the Options as to all, or part of the Shares, including certain Shares as to which it would not otherwise be exercisable.</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9.1.3.</w:t>
        <w:tab/>
        <w:t>In addition to Section 9.1.2 above, and if Section 9.1.1 does not apply, the Committee may notify the Participants that all Options that are exercisable shall remain so for a period of no less then seven (7) days from the date of such notice, and that all Options will terminate upon the expiration of such period. In any case, the Committee may condition the termination of all said Options upon consummation of the Transaction.</w:t>
      </w:r>
    </w:p>
    <w:p>
      <w:pPr>
        <w:spacing w:after="0" w:line="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color w:val="auto"/>
        </w:rPr>
        <w:t>Bonus Shares</w:t>
      </w:r>
    </w:p>
    <w:p>
      <w:pPr>
        <w:spacing w:after="0" w:line="9" w:lineRule="exact"/>
        <w:rPr>
          <w:sz w:val="20"/>
          <w:szCs w:val="20"/>
          <w:color w:val="auto"/>
        </w:rPr>
      </w:pPr>
    </w:p>
    <w:p>
      <w:pPr>
        <w:jc w:val="both"/>
        <w:ind w:left="1280"/>
        <w:spacing w:after="0" w:line="265" w:lineRule="auto"/>
        <w:rPr>
          <w:sz w:val="20"/>
          <w:szCs w:val="20"/>
          <w:color w:val="auto"/>
        </w:rPr>
      </w:pPr>
      <w:r>
        <w:rPr>
          <w:rFonts w:ascii="Arial" w:cs="Arial" w:eastAsia="Arial" w:hAnsi="Arial"/>
          <w:sz w:val="17"/>
          <w:szCs w:val="17"/>
          <w:color w:val="auto"/>
        </w:rPr>
        <w:t>In the event that the Company issues any of its shares as bonus shares to all its shareholders, on a pro rata basis, then the number of Shares received upon exercise of certain Options shall be increased to the number of Shares the Participant would have held after the issuance of the bonus shares had such Participant exercised such Options immediately before the issuance of the bonus shares.</w:t>
      </w:r>
    </w:p>
    <w:p>
      <w:pPr>
        <w:spacing w:after="0" w:line="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Reorganization; Separation</w:t>
      </w:r>
    </w:p>
    <w:p>
      <w:pPr>
        <w:spacing w:after="0" w:line="9" w:lineRule="exact"/>
        <w:rPr>
          <w:sz w:val="20"/>
          <w:szCs w:val="20"/>
          <w:color w:val="auto"/>
        </w:rPr>
      </w:pPr>
    </w:p>
    <w:p>
      <w:pPr>
        <w:jc w:val="both"/>
        <w:ind w:left="1280"/>
        <w:spacing w:after="0" w:line="295" w:lineRule="auto"/>
        <w:rPr>
          <w:sz w:val="20"/>
          <w:szCs w:val="20"/>
          <w:color w:val="auto"/>
        </w:rPr>
      </w:pPr>
      <w:r>
        <w:rPr>
          <w:rFonts w:ascii="Arial" w:cs="Arial" w:eastAsia="Arial" w:hAnsi="Arial"/>
          <w:sz w:val="16"/>
          <w:szCs w:val="16"/>
          <w:color w:val="auto"/>
        </w:rPr>
        <w:t>If the Company is separated, reorganized, or consolidated with another corporation (other than as part of a Transaction) while Options which were not yet exercised remain outstanding under this Plan, the Company shall use reasonable efforts to maintain the rights of each Participant through such separations, reorganizations or consolidations, or compensate the Participant for such event in lieu of the Options such Participant holds. The Committee, at its sole discretion, shall determine what steps shall be taken according to this section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Changes in Capitalization</w:t>
      </w:r>
    </w:p>
    <w:p>
      <w:pPr>
        <w:spacing w:after="0" w:line="23" w:lineRule="exact"/>
        <w:rPr>
          <w:sz w:val="20"/>
          <w:szCs w:val="20"/>
          <w:color w:val="auto"/>
        </w:rPr>
      </w:pPr>
    </w:p>
    <w:p>
      <w:pPr>
        <w:jc w:val="both"/>
        <w:ind w:left="1280"/>
        <w:spacing w:after="0" w:line="281" w:lineRule="auto"/>
        <w:rPr>
          <w:sz w:val="20"/>
          <w:szCs w:val="20"/>
          <w:color w:val="auto"/>
        </w:rPr>
      </w:pPr>
      <w:r>
        <w:rPr>
          <w:rFonts w:ascii="Arial" w:cs="Arial" w:eastAsia="Arial" w:hAnsi="Arial"/>
          <w:sz w:val="16"/>
          <w:szCs w:val="16"/>
          <w:color w:val="auto"/>
        </w:rPr>
        <w:t>If the outstanding shares of the Company shall at anytime be changed or exchanged by declaration of a share split, reverse share split, combination or reclassification of Ordinary Shares, or any other increase or decrease in the number Company’s Ordinary Shares effected without receipt of consideration by the Company from the shareholders, then the number, class and kind of Shares subject to this Plan or subject to any Options therefore granted, and the Exercise Prices of the Options, shall be appropriately and equitably adjusted so as to maintain the proportionate number of Shares without changing the aggregate Exercise Prices of the Options (except in case the Exercise Price is equal to the par value of the shares, in which case the Exercise Price will be increased respectively). However no adjustment shall be made by reason of the distribution of subscription rights on outstanding shares, or conversion of securities into shares of the Company.</w:t>
      </w:r>
    </w:p>
    <w:p>
      <w:pPr>
        <w:spacing w:after="0" w:line="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Other terms and conditions</w:t>
      </w:r>
    </w:p>
    <w:p>
      <w:pPr>
        <w:spacing w:after="0" w:line="9" w:lineRule="exact"/>
        <w:rPr>
          <w:sz w:val="20"/>
          <w:szCs w:val="20"/>
          <w:color w:val="auto"/>
        </w:rPr>
      </w:pPr>
    </w:p>
    <w:p>
      <w:pPr>
        <w:jc w:val="both"/>
        <w:ind w:left="1920" w:hanging="634"/>
        <w:spacing w:after="0" w:line="281" w:lineRule="auto"/>
        <w:tabs>
          <w:tab w:leader="none" w:pos="190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6"/>
          <w:szCs w:val="16"/>
          <w:color w:val="auto"/>
        </w:rPr>
        <w:t>The allocation of each Option Grant hereunder is subject to the relevant Participant’s agreement to sign any document he/she is required to sign pursuant to the provisions of this section 9. If a Participant refuses to sign any such documents, the Committee or Board may determine that the Options held by the Participant or by a trustee for such Participant’s benefit shall immediately expire.</w:t>
      </w:r>
    </w:p>
    <w:p>
      <w:pPr>
        <w:spacing w:after="0" w:line="2"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9.5.2.</w:t>
        <w:tab/>
        <w:t>Such adjustments as mentioned in this Section 9 shall be made by the Committee, whose determination in such respect shall be final, binding and conclusive.</w:t>
      </w:r>
    </w:p>
    <w:p>
      <w:pPr>
        <w:spacing w:after="0" w:line="1" w:lineRule="exact"/>
        <w:rPr>
          <w:sz w:val="20"/>
          <w:szCs w:val="20"/>
          <w:color w:val="auto"/>
        </w:rPr>
      </w:pPr>
    </w:p>
    <w:p>
      <w:pPr>
        <w:jc w:val="both"/>
        <w:ind w:left="1920" w:hanging="634"/>
        <w:spacing w:after="0" w:line="252" w:lineRule="auto"/>
        <w:tabs>
          <w:tab w:leader="none" w:pos="1900" w:val="left"/>
        </w:tabs>
        <w:rPr>
          <w:sz w:val="20"/>
          <w:szCs w:val="20"/>
          <w:color w:val="auto"/>
        </w:rPr>
      </w:pPr>
      <w:r>
        <w:rPr>
          <w:rFonts w:ascii="Arial" w:cs="Arial" w:eastAsia="Arial" w:hAnsi="Arial"/>
          <w:sz w:val="18"/>
          <w:szCs w:val="18"/>
          <w:color w:val="auto"/>
        </w:rPr>
        <w:t>9.5.3.</w:t>
        <w:tab/>
        <w:t>Anything herein to the contrary notwithstanding, if prior to an IPO, there is a bona fide offer to purchase all or substantially all of the issued and outstanding shares of the Company, or upon a reorganization separation or the like, all or substantially all of the shares of the Company are to be exchanged for securities of another company, then each Participant shall be obliged to sell or exchange (in accordance with the value of such Participant’s Options and Shares pursuant to the terms of such transaction) as the case may be, any Shares such Participant purchases hereunder, in accordance with the instructions issued by the Board in connection with such transaction, which will be given according to a policy of the Board concerning all of the Participants under the Plan.</w:t>
      </w:r>
    </w:p>
    <w:p>
      <w:pPr>
        <w:spacing w:after="0" w:line="189" w:lineRule="exact"/>
        <w:rPr>
          <w:sz w:val="20"/>
          <w:szCs w:val="20"/>
          <w:color w:val="auto"/>
        </w:rPr>
      </w:pPr>
    </w:p>
    <w:p>
      <w:pPr>
        <w:ind w:left="640" w:hanging="632"/>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AND SALE OF OPTIONS</w:t>
      </w:r>
    </w:p>
    <w:p>
      <w:pPr>
        <w:spacing w:after="0" w:line="256"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No Option shall be assignable, transferable, given as collateral, hypothecated pledged or encumbered and no right with respect to the Options shall be given to any third party whatsoever, and during the lifetime of each Participant, each and all of such Participant’s rights to purchase Shares hereunder shall be exercisable only by such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TERM AND EXERCISE OF OPTIONS</w:t>
      </w:r>
    </w:p>
    <w:p>
      <w:pPr>
        <w:spacing w:after="0" w:line="256" w:lineRule="exact"/>
        <w:rPr>
          <w:sz w:val="20"/>
          <w:szCs w:val="20"/>
          <w:color w:val="auto"/>
        </w:rPr>
      </w:pPr>
    </w:p>
    <w:p>
      <w:pPr>
        <w:jc w:val="both"/>
        <w:ind w:left="1920" w:hanging="634"/>
        <w:spacing w:after="0" w:line="291" w:lineRule="auto"/>
        <w:tabs>
          <w:tab w:leader="none" w:pos="19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 xml:space="preserve">Options shall be exercised by a Participant by giving written notice to the Company, in the form substantially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b w:val="1"/>
          <w:bCs w:val="1"/>
          <w:color w:val="auto"/>
        </w:rPr>
        <w:t xml:space="preserve"> </w:t>
      </w:r>
      <w:r>
        <w:rPr>
          <w:rFonts w:ascii="Arial" w:cs="Arial" w:eastAsia="Arial" w:hAnsi="Arial"/>
          <w:sz w:val="16"/>
          <w:szCs w:val="16"/>
          <w:color w:val="auto"/>
        </w:rPr>
        <w:t>or such other form(s) and method as may be determined by the Company from time to time (the “</w:t>
      </w:r>
      <w:r>
        <w:rPr>
          <w:rFonts w:ascii="Arial" w:cs="Arial" w:eastAsia="Arial" w:hAnsi="Arial"/>
          <w:sz w:val="16"/>
          <w:szCs w:val="16"/>
          <w:b w:val="1"/>
          <w:bCs w:val="1"/>
          <w:color w:val="auto"/>
        </w:rPr>
        <w:t>Exercise Notice</w:t>
      </w:r>
      <w:r>
        <w:rPr>
          <w:rFonts w:ascii="Arial" w:cs="Arial" w:eastAsia="Arial" w:hAnsi="Arial"/>
          <w:sz w:val="16"/>
          <w:szCs w:val="16"/>
          <w:color w:val="auto"/>
        </w:rPr>
        <w:t>”).</w:t>
      </w: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Exercise Price shall be payable upon the exercise of the Option in cash or by check, or other form satisfactory to the Committee.</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Exercise Price will be paid in NIS, or if the Exercise Price is fixed in U.S. dollars, in U.S. dollars or in accordance with the representative rate of exchange of the U.S. dollar, last published by the Bank of Israel at the time of actual payment, or as provided for by the Company.</w:t>
      </w:r>
    </w:p>
    <w:p>
      <w:pPr>
        <w:spacing w:after="0" w:line="1" w:lineRule="exact"/>
        <w:rPr>
          <w:sz w:val="20"/>
          <w:szCs w:val="20"/>
          <w:color w:val="auto"/>
        </w:rPr>
      </w:pPr>
    </w:p>
    <w:p>
      <w:pPr>
        <w:jc w:val="both"/>
        <w:ind w:left="1920" w:hanging="634"/>
        <w:spacing w:after="0" w:line="265" w:lineRule="auto"/>
        <w:tabs>
          <w:tab w:leader="none" w:pos="19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Each Participant will be entitled to exercise, upon signing the Exercise Notice and any additional documents as required by the Company, and paying the Exercise Price, all, or part of the Options that are vested at the Exercise Period.</w:t>
      </w: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Options shall not be deemed exercised unless: (I) the Company receives duly signed Exercise Notice including all relevant details; and (II) the Company receives the Exercise Price.</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The Options may be exercised only to purchase whole Shares, and in no case may a fraction of a Share be purchased. If any fractional Shares would be deliverable upon exercise, such fraction shall be rounded up or down, to the nearest whole number. Half of a Share will be rounded up.</w:t>
      </w:r>
    </w:p>
    <w:p>
      <w:pPr>
        <w:spacing w:after="0" w:line="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Each Option granted under this Plan shall be exercisable during the Exercise Period. Subject to adjustments, as set forth in Section</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9 above, the exercise of one Option shall entitle the Participant to hold one Share.</w:t>
      </w:r>
    </w:p>
    <w:p>
      <w:pPr>
        <w:spacing w:after="0" w:line="9" w:lineRule="exact"/>
        <w:rPr>
          <w:sz w:val="20"/>
          <w:szCs w:val="20"/>
          <w:color w:val="auto"/>
        </w:rPr>
      </w:pPr>
    </w:p>
    <w:p>
      <w:pPr>
        <w:jc w:val="both"/>
        <w:ind w:left="1920" w:hanging="634"/>
        <w:spacing w:after="0" w:line="252" w:lineRule="auto"/>
        <w:tabs>
          <w:tab w:leader="none" w:pos="19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Without derogating from any restrictions mentioned hereinabove, the exercise of the Options is being subject to the following terms, restrictions and conditions as may be in effect on the time of the exercise of the Options is requested: (i) any applicable law or regulation; (ii) any order or limitation set by any stock exchange in which the Company’s securities may be traded (e.g., blackout periods, and lock up after an IPO); and (iii) any limitation undertaken by the Company with respect of the shares of the Company, including limitations set forth by Company’s underwriters. Such period of restriction of sale or exercise shall not be counted as part of the applicable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68" w:lineRule="exact"/>
        <w:rPr>
          <w:sz w:val="20"/>
          <w:szCs w:val="20"/>
          <w:color w:val="auto"/>
        </w:rPr>
      </w:pPr>
    </w:p>
    <w:p>
      <w:pPr>
        <w:jc w:val="both"/>
        <w:ind w:left="1920" w:hanging="634"/>
        <w:spacing w:after="0" w:line="287" w:lineRule="auto"/>
        <w:tabs>
          <w:tab w:leader="none" w:pos="19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Notwithstanding the foregoing, starting as of the Employment Termination Date of a certain Participant and during the period that the vested Options are exercisable, the Company shall be entitled (subject to the provisions of applicable law) to purchase the vested Options held by such Participant by sending the Participant a purchase notice (the "</w:t>
      </w:r>
      <w:r>
        <w:rPr>
          <w:rFonts w:ascii="Arial" w:cs="Arial" w:eastAsia="Arial" w:hAnsi="Arial"/>
          <w:sz w:val="16"/>
          <w:szCs w:val="16"/>
          <w:b w:val="1"/>
          <w:bCs w:val="1"/>
          <w:color w:val="auto"/>
        </w:rPr>
        <w:t>Purchase Notice</w:t>
      </w:r>
      <w:r>
        <w:rPr>
          <w:rFonts w:ascii="Arial" w:cs="Arial" w:eastAsia="Arial" w:hAnsi="Arial"/>
          <w:sz w:val="16"/>
          <w:szCs w:val="16"/>
          <w:color w:val="auto"/>
        </w:rPr>
        <w:t>"). The purchase price of each Option shall be the Market Value of an Ordinary Share less the Exercise Price of the Option. The Market Value of an Ordinary Share shall be determined as follows: (i) in case the Company's shares are listed on a stock exchange, the Market Value shall be the average price of the Shares during 5 days prior to the Purchase Notice; or (ii) in case the Company's shares are not traded, the Market Value shall be the value determined in good faith unanimously by the Board and in the event the Board members are unable to reach an agreement with respect to the Market Value within 10 days of the Purchase Notice to the Participant, the Board will refer to an external expert. The Committee or the Board shall be entitled to establish further processes for the purchase of the Options as set forth above, provided, however, that if the Company receives the Participant’s Exercise Notice prior to the receipt of the Purchase Notice from the Company, then the Company’s right to purchase the said Options shall become null and void and the Participant may exercise the vested Options pursuant to their terms.</w:t>
      </w:r>
    </w:p>
    <w:p>
      <w:pPr>
        <w:spacing w:after="0" w:line="192" w:lineRule="exact"/>
        <w:rPr>
          <w:sz w:val="20"/>
          <w:szCs w:val="20"/>
          <w:color w:val="auto"/>
        </w:rPr>
      </w:pPr>
    </w:p>
    <w:p>
      <w:pPr>
        <w:ind w:left="640" w:hanging="632"/>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ATTACHED TO THE SHARES</w:t>
      </w:r>
    </w:p>
    <w:p>
      <w:pPr>
        <w:spacing w:after="0" w:line="256" w:lineRule="exact"/>
        <w:rPr>
          <w:sz w:val="20"/>
          <w:szCs w:val="20"/>
          <w:color w:val="auto"/>
        </w:rPr>
      </w:pPr>
    </w:p>
    <w:p>
      <w:pPr>
        <w:jc w:val="both"/>
        <w:ind w:left="1920" w:hanging="634"/>
        <w:spacing w:after="0" w:line="256" w:lineRule="auto"/>
        <w:tabs>
          <w:tab w:leader="none" w:pos="1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No Participant shall have any of the rights or privileges of a shareholder of the Company with respect to any of the Shares, unless and until, following exercise, the registration of the Participant as holder of such Shares in the Company’s register of members is duly completed.</w:t>
      </w:r>
    </w:p>
    <w:p>
      <w:pPr>
        <w:jc w:val="both"/>
        <w:ind w:left="1920" w:right="20" w:hanging="634"/>
        <w:spacing w:after="0" w:line="250" w:lineRule="auto"/>
        <w:tabs>
          <w:tab w:leader="none" w:pos="19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rights and obligations attached to the Shares will be as set forth in the Articles. The Shares may be subject to rights of first refusal, co-sale rights and other rights specified in the Articles.</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The Participant waives any of the following rights to the extent such rights are attached to the Shares: (i) pre-emptive rights in relation to issuance of new securities in the Company; (ii) rights of first refusal in relation with any sale of shares of the Company; (iii) co-sale rights in relation with any sale of shares of the Company.</w:t>
      </w:r>
    </w:p>
    <w:p>
      <w:pPr>
        <w:spacing w:after="0" w:line="1" w:lineRule="exact"/>
        <w:rPr>
          <w:sz w:val="20"/>
          <w:szCs w:val="20"/>
          <w:color w:val="auto"/>
        </w:rPr>
      </w:pPr>
    </w:p>
    <w:p>
      <w:pPr>
        <w:jc w:val="both"/>
        <w:ind w:left="1920" w:hanging="634"/>
        <w:spacing w:after="0" w:line="255" w:lineRule="auto"/>
        <w:tabs>
          <w:tab w:leader="none" w:pos="19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 xml:space="preserve">Unless provided otherwise by the Committee, until an IPO, all voting rights, and rights to receive information from the Company with respect to the Shares shall be granted to the Board or as determined by the Board, in accordance with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68" w:lineRule="exact"/>
        <w:rPr>
          <w:sz w:val="20"/>
          <w:szCs w:val="20"/>
          <w:color w:val="auto"/>
        </w:rPr>
      </w:pPr>
    </w:p>
    <w:p>
      <w:pPr>
        <w:jc w:val="both"/>
        <w:ind w:left="1920" w:hanging="634"/>
        <w:spacing w:after="0" w:line="285" w:lineRule="auto"/>
        <w:tabs>
          <w:tab w:leader="none" w:pos="19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Without derogating from any restrictions mentioned hereinabove, by accepting an Option Grant, each Participant agrees that the sale or disposal of Shares is subject to the following terms, restrictions and conditions as may be in effect on the time when such sale or disposal is requested: (i) any applicable law or regulation; (ii) any order or limitation set by any stock exchange in which the Company’s securities may be traded (e.g., blackout periods, and lock up after an IPO); and (iii) any limitation undertaken by the Company with respect of the shares of the Company, including limitations set forth by Company’s underwriters.</w:t>
      </w:r>
    </w:p>
    <w:p>
      <w:pPr>
        <w:spacing w:after="0" w:line="2"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Until an IPO the Company shall have the authority to endorse upon the certificate or certificates representing the Shares such legends referring to the foregoing restrictions, and any other applicable restrictions, as it may deem appropriate (and which do not violate the Participant's rights according to this Agreement).</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By accepting an Option Grant, each Participant agrees that in the case of an IPO or after registering the Company’s securities for trading, to sign any document and approve any resolution or restriction upon the Shares, or modify the terms of allocation of the Shares, if such Participants signature or approval or such restriction or modification were reasonably required, in the Committee’s discretion, in order to facilitate the Company in meeting all the underwriters and stock exchange demands and all applicable securities and corporate laws and regulations.</w:t>
      </w:r>
    </w:p>
    <w:p>
      <w:pPr>
        <w:spacing w:after="0" w:line="2"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The Participant shall not sell, pledge, transfer or otherwise dispose of any Shares in transactions which violate, according to the Company’s sole discretion, any applicable laws, rules and regulations, or the Articles.</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No transfer of Shares shall be effective if the Committee determines that the transferee is a competitor of the Company (either directly or indirectly).</w:t>
      </w:r>
    </w:p>
    <w:p>
      <w:pPr>
        <w:spacing w:after="0" w:line="1"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7"/>
          <w:szCs w:val="17"/>
          <w:color w:val="auto"/>
        </w:rPr>
        <w:t>Notwithstanding anything to the contrary in this Section 12, as long as Shares are held by a trustee for the benefit of a Participant (if applicable) the Shares shall not be sold, pledged, transferred or otherwise disposed of, by the Participant until an IPO, or until such time or event as determined by the Committee, either individually or with respect to all Participants.</w:t>
      </w:r>
    </w:p>
    <w:p>
      <w:pPr>
        <w:spacing w:after="0" w:line="169"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PLAN</w:t>
      </w:r>
    </w:p>
    <w:p>
      <w:pPr>
        <w:spacing w:after="0" w:line="256"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Plan shall be effective as of January 1, 2010, which is the day it was adopted by the Board and shall terminate when all the Options are exercised into Shares or expired in accordance with the provisions of this Plan or such other date as shall be determined by the Board, which date shall be no later than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TERMINATION</w:t>
      </w:r>
    </w:p>
    <w:p>
      <w:pPr>
        <w:spacing w:after="0" w:line="256" w:lineRule="exact"/>
        <w:rPr>
          <w:sz w:val="20"/>
          <w:szCs w:val="20"/>
          <w:color w:val="auto"/>
        </w:rPr>
      </w:pPr>
    </w:p>
    <w:p>
      <w:pPr>
        <w:ind w:left="1920" w:hanging="634"/>
        <w:spacing w:after="0" w:line="274" w:lineRule="auto"/>
        <w:tabs>
          <w:tab w:leader="none" w:pos="19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The Board may, at any time and from time to time, amend, alter or terminate the Plan, provided, however, that the rights of the Participants shall not be adversely affected, unless such Participants agreed to such amendment, alteration or termination.</w:t>
      </w:r>
    </w:p>
    <w:p>
      <w:pPr>
        <w:ind w:left="1920" w:hanging="634"/>
        <w:spacing w:after="0" w:line="290" w:lineRule="auto"/>
        <w:tabs>
          <w:tab w:leader="none" w:pos="19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The Plan may be terminated at any time by an action of the Board, but any such termination will not terminate any Options granted under this Plan, which are then outstanding, without the consent of the Participant that is holding such Options.</w:t>
      </w:r>
    </w:p>
    <w:p>
      <w:pPr>
        <w:spacing w:after="0" w:line="158" w:lineRule="exact"/>
        <w:rPr>
          <w:sz w:val="20"/>
          <w:szCs w:val="20"/>
          <w:color w:val="auto"/>
        </w:rPr>
      </w:pPr>
    </w:p>
    <w:p>
      <w:pPr>
        <w:ind w:left="640" w:hanging="632"/>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25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provisions of the Plan shall be binding upon the heirs, executors, administrators, and successors of the Participants.</w:t>
      </w:r>
    </w:p>
    <w:p>
      <w:pPr>
        <w:spacing w:after="0" w:line="221" w:lineRule="exact"/>
        <w:rPr>
          <w:rFonts w:ascii="Arial" w:cs="Arial" w:eastAsia="Arial" w:hAnsi="Arial"/>
          <w:sz w:val="18"/>
          <w:szCs w:val="18"/>
          <w:b w:val="1"/>
          <w:bCs w:val="1"/>
          <w:color w:val="auto"/>
        </w:rPr>
      </w:pPr>
    </w:p>
    <w:p>
      <w:pPr>
        <w:ind w:left="640" w:hanging="632"/>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REGULATIONS AND OTHER RESTRICTIONS</w:t>
      </w:r>
    </w:p>
    <w:p>
      <w:pPr>
        <w:spacing w:after="0" w:line="256" w:lineRule="exact"/>
        <w:rPr>
          <w:sz w:val="20"/>
          <w:szCs w:val="20"/>
          <w:color w:val="auto"/>
        </w:rPr>
      </w:pPr>
    </w:p>
    <w:p>
      <w:pPr>
        <w:jc w:val="both"/>
        <w:ind w:left="1920" w:hanging="634"/>
        <w:spacing w:after="0" w:line="254" w:lineRule="auto"/>
        <w:tabs>
          <w:tab w:leader="none" w:pos="190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This Plan, the Option Grant Letter Agreements, the grant and exercise of Options hereunder, the obligation of the Company to issue the Shares, and any other act or obligation of the Company or any related individual or entity acting in connection with this Plan are all subject to the Articles, all applicable laws, rules, and regulations, whether of the State of Israel or of the United States or any other state having jurisdiction over the Company and any Participant.</w:t>
      </w:r>
    </w:p>
    <w:p>
      <w:pPr>
        <w:spacing w:after="0" w:line="2" w:lineRule="exact"/>
        <w:rPr>
          <w:sz w:val="20"/>
          <w:szCs w:val="20"/>
          <w:color w:val="auto"/>
        </w:rPr>
      </w:pPr>
    </w:p>
    <w:p>
      <w:pPr>
        <w:jc w:val="both"/>
        <w:ind w:left="1920" w:hanging="634"/>
        <w:spacing w:after="0" w:line="290" w:lineRule="auto"/>
        <w:tabs>
          <w:tab w:leader="none" w:pos="190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By accepting an Option Grant, each Participant agrees not to sell, pledge, transfer or otherwise dispose of any of the Shares such Participant may hold except in compliance with: (I) the United States Securities Act of 1933, as amended, and the rules and regulations thereunder if applicable; and (II) the Israeli Securities Law 5728 – 1968; and (III) any other applicable securities law, regulations or other rules set by any stock exchange in which the Company's securities may be traded; and to further agree that certificates evidencing any of such Shares shall bear appropriate legend to reflect such restrictions. The Company does not obligate itself to register any shares under the United States Securities Act of 1933, as amended or any other securities laws.</w:t>
      </w:r>
    </w:p>
    <w:p>
      <w:pPr>
        <w:spacing w:after="0" w:line="160"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 INDEMNIFICATION</w:t>
      </w:r>
    </w:p>
    <w:p>
      <w:pPr>
        <w:spacing w:after="0" w:line="256"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Any tax consequences (pursuant to Israeli or any other applicable law that the relevant Participant is subject to), including tax consequences due to adjustments, made in accordance with Section 9 above, arising from the grant or exercise of any Option, the payment for Shares covered thereby, or any other event or act (of the Company or any Participant) relating to the Plan, shall be borne solely by each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68" w:lineRule="exact"/>
        <w:rPr>
          <w:sz w:val="20"/>
          <w:szCs w:val="20"/>
          <w:color w:val="auto"/>
        </w:rPr>
      </w:pPr>
    </w:p>
    <w:p>
      <w:pPr>
        <w:jc w:val="both"/>
        <w:ind w:left="1920" w:right="20" w:hanging="634"/>
        <w:spacing w:after="0" w:line="258" w:lineRule="auto"/>
        <w:tabs>
          <w:tab w:leader="none" w:pos="190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The Company and/or the Board and/or the Committee and/or a trustee for the Plan shall not be required to release any Share certificates or transfer any Shares to a Participant until all required tax payments have been fully made.</w:t>
      </w:r>
    </w:p>
    <w:p>
      <w:pPr>
        <w:spacing w:after="0" w:line="1" w:lineRule="exact"/>
        <w:rPr>
          <w:sz w:val="20"/>
          <w:szCs w:val="20"/>
          <w:color w:val="auto"/>
        </w:rPr>
      </w:pPr>
    </w:p>
    <w:p>
      <w:pPr>
        <w:jc w:val="both"/>
        <w:ind w:left="1920" w:hanging="634"/>
        <w:spacing w:after="0" w:line="281" w:lineRule="auto"/>
        <w:tabs>
          <w:tab w:leader="none" w:pos="190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The Company may withhold taxes according to the requirements under the applicable laws, rules, and regulations, including withholding taxes at source. In the case that applicable law requires so, the Company shall deduct taxes at source. Such deduction may be made from any proceeds attributed to the exercise of the Options and sale of Shares, or from any proceeds the Participant is entitled to receive from the Group or other proceeds such Participant owns and are held by the Group, including from Participant’s salary or other proceeds he/she is entitled to receive from the Company or a Related Entity. It is explicitly stated herein that each Participant who is an Employee, by accepting an Option Grant agrees to the deduction from his/her salary of any amounts that in the Company’s determination are required to be deducted under applicable law in connection with the Plan. In any such case, the Company shall be entitled to offset any amounts due to such Participant on account of such taxes.</w:t>
      </w:r>
    </w:p>
    <w:p>
      <w:pPr>
        <w:spacing w:after="0" w:line="5"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In the case that the Company, or any other person on its behalf is required to pay taxes, that under applicable law should have been paid by the Participant, then such Participant shall immediately either pay such tax, or, if such tax was already paid, reimburse the Company, or such other person for the total amount paid.</w:t>
      </w:r>
    </w:p>
    <w:p>
      <w:pPr>
        <w:spacing w:after="0" w:line="1"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Neither the Company, nor any Related Entity nor anyone on their behalf, shall give, or be deemed to be giving any Participant, or a potential Participant, advice regarding tax consequences relating to the Plan and issuance of securities thereunder. Each Participant shall rely solely, while considering participation in the Plan, on the advice of such Participant’s consultants.</w:t>
      </w:r>
    </w:p>
    <w:p>
      <w:pPr>
        <w:spacing w:after="0" w:line="169" w:lineRule="exact"/>
        <w:rPr>
          <w:sz w:val="20"/>
          <w:szCs w:val="20"/>
          <w:color w:val="auto"/>
        </w:rPr>
      </w:pPr>
    </w:p>
    <w:p>
      <w:pPr>
        <w:ind w:left="640" w:hanging="632"/>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CONTINUANCE OF EMPLOYMENT OR ENGAGEMENT</w:t>
      </w:r>
    </w:p>
    <w:p>
      <w:pPr>
        <w:spacing w:after="0" w:line="256" w:lineRule="exact"/>
        <w:rPr>
          <w:rFonts w:ascii="Arial" w:cs="Arial" w:eastAsia="Arial" w:hAnsi="Arial"/>
          <w:sz w:val="18"/>
          <w:szCs w:val="18"/>
          <w:b w:val="1"/>
          <w:bCs w:val="1"/>
          <w:color w:val="auto"/>
        </w:rPr>
      </w:pPr>
    </w:p>
    <w:p>
      <w:pPr>
        <w:jc w:val="both"/>
        <w:ind w:left="6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Neither the Plan nor any Option Grant shall be construed to impose any obligation on any entity included in the Group to continue any Participant’s employment with it (in the case that the Participant is an Employee) or to maintain any business engagement with such Participant. Nothing in the Plan or in any Option Grant shall confer upon any Participant any right to continue to be employed by the Group or to maintain any other business engagement with it, or restrict the right of any entity included in the Group to terminate such employment or business engagement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RULES PARTICULAR TO SPECIFIC COUNTRIES</w:t>
      </w:r>
    </w:p>
    <w:p>
      <w:pPr>
        <w:spacing w:after="0" w:line="256" w:lineRule="exact"/>
        <w:rPr>
          <w:sz w:val="20"/>
          <w:szCs w:val="20"/>
          <w:color w:val="auto"/>
        </w:rPr>
      </w:pPr>
    </w:p>
    <w:p>
      <w:pPr>
        <w:jc w:val="both"/>
        <w:ind w:left="1920" w:hanging="634"/>
        <w:spacing w:after="0" w:line="256" w:lineRule="auto"/>
        <w:tabs>
          <w:tab w:leader="none" w:pos="190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Notwithstanding anything herein to the contrary, the terms and conditions of the Plan may be amended with respect to particular types of Participants as determined by the Board (for example, Israeli employees, employees that are subject to US taxation) by an addendum to the Plan (the “</w:t>
      </w:r>
      <w:r>
        <w:rPr>
          <w:rFonts w:ascii="Arial" w:cs="Arial" w:eastAsia="Arial" w:hAnsi="Arial"/>
          <w:sz w:val="18"/>
          <w:szCs w:val="18"/>
          <w:b w:val="1"/>
          <w:bCs w:val="1"/>
          <w:color w:val="auto"/>
        </w:rPr>
        <w:t>Appendix</w:t>
      </w:r>
      <w:r>
        <w:rPr>
          <w:rFonts w:ascii="Arial" w:cs="Arial" w:eastAsia="Arial" w:hAnsi="Arial"/>
          <w:sz w:val="18"/>
          <w:szCs w:val="18"/>
          <w:color w:val="auto"/>
        </w:rPr>
        <w:t>”).</w:t>
      </w: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The Company may adopt one or more Appendixes. Each Appendix shall be approved by the Board and as required or advisable under applicable law.</w:t>
      </w:r>
    </w:p>
    <w:p>
      <w:pPr>
        <w:spacing w:after="0" w:line="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terms of an Appendix shall govern only with respect to the types of Participants specified in such Appendix.</w:t>
      </w:r>
    </w:p>
    <w:p>
      <w:pPr>
        <w:spacing w:after="0" w:line="9" w:lineRule="exact"/>
        <w:rPr>
          <w:sz w:val="20"/>
          <w:szCs w:val="20"/>
          <w:color w:val="auto"/>
        </w:rPr>
      </w:pPr>
    </w:p>
    <w:p>
      <w:pPr>
        <w:jc w:val="both"/>
        <w:ind w:left="1920" w:hanging="634"/>
        <w:spacing w:after="0" w:line="254" w:lineRule="auto"/>
        <w:tabs>
          <w:tab w:leader="none" w:pos="190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In the case that the terms and conditions set forth in an Appendix conflict with any provisions of the Plan, the provisions of the Appendix shall govern with respect to Participants that are subject to such Appendix, provided, however, that such Appendix shall not be construed to grant the Participants rights not consistent with the terms of the Plan, unless specifically provided in such Appendix.</w:t>
      </w:r>
    </w:p>
    <w:p>
      <w:pPr>
        <w:spacing w:after="0" w:line="186" w:lineRule="exact"/>
        <w:rPr>
          <w:sz w:val="20"/>
          <w:szCs w:val="20"/>
          <w:color w:val="auto"/>
        </w:rPr>
      </w:pPr>
    </w:p>
    <w:p>
      <w:pPr>
        <w:ind w:left="640" w:hanging="632"/>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PLAN</w:t>
      </w:r>
    </w:p>
    <w:p>
      <w:pPr>
        <w:spacing w:after="0" w:line="256" w:lineRule="exact"/>
        <w:rPr>
          <w:sz w:val="20"/>
          <w:szCs w:val="20"/>
          <w:color w:val="auto"/>
        </w:rPr>
      </w:pPr>
    </w:p>
    <w:p>
      <w:pPr>
        <w:jc w:val="both"/>
        <w:ind w:left="1920" w:hanging="634"/>
        <w:spacing w:after="0" w:line="254" w:lineRule="auto"/>
        <w:tabs>
          <w:tab w:leader="none" w:pos="190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The adoption of the Plan by the Board shall not be construed as amending, modifying or rescinding any previously approved incentive arrangements or as creating any limitations on the power of the Board to adopt such other incentive arrangements as it may deem desirable, including, without limitation, the granting of Options other than under this Plan, and such arrangements may be either applicable generally or only in specific cases.</w:t>
      </w:r>
    </w:p>
    <w:p>
      <w:pPr>
        <w:spacing w:after="0" w:line="2" w:lineRule="exact"/>
        <w:rPr>
          <w:sz w:val="20"/>
          <w:szCs w:val="20"/>
          <w:color w:val="auto"/>
        </w:rPr>
      </w:pPr>
    </w:p>
    <w:p>
      <w:pPr>
        <w:jc w:val="both"/>
        <w:ind w:left="1920" w:right="20" w:hanging="634"/>
        <w:spacing w:after="0" w:line="261" w:lineRule="auto"/>
        <w:tabs>
          <w:tab w:leader="none" w:pos="190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 grant of Options hereunder shall neither entitle the recipient thereof to participate, nor disqualify him from participating in, any other grant of Options pursuant to this Plan or any other option or stock plan of the Company.</w:t>
      </w:r>
    </w:p>
    <w:p>
      <w:pPr>
        <w:spacing w:after="0" w:line="180" w:lineRule="exact"/>
        <w:rPr>
          <w:sz w:val="20"/>
          <w:szCs w:val="20"/>
          <w:color w:val="auto"/>
        </w:rPr>
      </w:pPr>
    </w:p>
    <w:p>
      <w:pPr>
        <w:ind w:left="640" w:hanging="632"/>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MULTIPLE AGREEMENTS; OTHER CORPORATE ACTIONS</w:t>
      </w:r>
    </w:p>
    <w:p>
      <w:pPr>
        <w:spacing w:after="0" w:line="256"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terms of each Option Grant may differ from other Options Grants granted under the Plan at the same time, or at any other time. The Board may also grant more than one Option Grant to a certain Participant during the term of this Plan, either in addition to, or in substitution for, one or more Option Grants previously granted to such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68"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Under no circumstances shall the Plan be construed to grant any right to a Participant, or any other third party, to postpone, delay or affect any corporate action resolved by the Company.</w:t>
      </w:r>
    </w:p>
    <w:p>
      <w:pPr>
        <w:spacing w:after="0" w:line="166"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&amp; JURISDICTION</w:t>
      </w:r>
    </w:p>
    <w:p>
      <w:pPr>
        <w:spacing w:after="0" w:line="229"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Plan shall be governed by, construed and enforced in accordance with the laws of the State of Israel, without giving effect to the principles of conflict of laws. Any dispute or claim shall be put to the Board’s resolution. Subject to the above, the competent courts of Tel-Aviv, Israel shall have sole jurisdiction in any matter pertaining to this Plan, and any other issue related to it.</w:t>
      </w:r>
    </w:p>
    <w:p>
      <w:pPr>
        <w:spacing w:after="0" w:line="177" w:lineRule="exact"/>
        <w:rPr>
          <w:rFonts w:ascii="Arial" w:cs="Arial" w:eastAsia="Arial" w:hAnsi="Arial"/>
          <w:sz w:val="18"/>
          <w:szCs w:val="18"/>
          <w:b w:val="1"/>
          <w:bCs w:val="1"/>
          <w:color w:val="auto"/>
        </w:rPr>
      </w:pPr>
    </w:p>
    <w:p>
      <w:pPr>
        <w:ind w:left="640" w:hanging="632"/>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failure of the Company or any other party acting on its behalf or assisting it in implementing the Plan to enforce at any time any provisions of the Plan shall not be construed to constitute a waiver of such provision or of any other provision hereof.</w:t>
      </w:r>
    </w:p>
    <w:p>
      <w:pPr>
        <w:spacing w:after="0" w:line="166" w:lineRule="exact"/>
        <w:rPr>
          <w:rFonts w:ascii="Arial" w:cs="Arial" w:eastAsia="Arial" w:hAnsi="Arial"/>
          <w:sz w:val="18"/>
          <w:szCs w:val="18"/>
          <w:b w:val="1"/>
          <w:bCs w:val="1"/>
          <w:color w:val="auto"/>
        </w:rPr>
      </w:pPr>
    </w:p>
    <w:p>
      <w:pPr>
        <w:ind w:left="640" w:hanging="632"/>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7" w:lineRule="exact"/>
        <w:rPr>
          <w:sz w:val="20"/>
          <w:szCs w:val="20"/>
          <w:color w:val="auto"/>
        </w:rPr>
      </w:pPr>
    </w:p>
    <w:p>
      <w:pPr>
        <w:jc w:val="both"/>
        <w:ind w:left="1920" w:hanging="634"/>
        <w:spacing w:after="0" w:line="265" w:lineRule="auto"/>
        <w:tabs>
          <w:tab w:leader="none" w:pos="1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Any notice, request, demand or other communication required or permitted under the Plan shall be in writing and shall be deemed to have been duly given, made and received only by personal delivery or if sent by certified mail, postage prepaid, return receipt requested, overnight delivery service, facsimile transmission (with confirmation of delivery), or confirmed e-mail to the address of the Company (if sent to the Company), or to the address of the Participant as such was provided by him in the Option Grant Letter Agreement, unless such address is changed by written notice received by the Company.</w:t>
      </w:r>
    </w:p>
    <w:p>
      <w:pPr>
        <w:spacing w:after="0" w:line="1"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Except as otherwise set forth herein, any notice sent by mail shall be deemed to be given six days after deposit with the relevant post service; any notice sent by overnight delivery service shall be deemed given the first business day after deposited with the delivery service; and any notice sent by facsimile transmission or e-mail, shall be deemed given when transmitted if sent during normal business hours or if not, on the next business day; and any notice given by personal delivery shall be deemed given on the date of delivery.</w:t>
      </w:r>
    </w:p>
    <w:p>
      <w:pPr>
        <w:spacing w:after="0" w:line="2" w:lineRule="exact"/>
        <w:rPr>
          <w:sz w:val="20"/>
          <w:szCs w:val="20"/>
          <w:color w:val="auto"/>
        </w:rPr>
      </w:pPr>
    </w:p>
    <w:p>
      <w:pPr>
        <w:jc w:val="both"/>
        <w:ind w:left="1920" w:hanging="634"/>
        <w:spacing w:after="0" w:line="254" w:lineRule="auto"/>
        <w:tabs>
          <w:tab w:leader="none" w:pos="190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In the case a certain Participant changes his or her contact details, in a way that the contact details provided to the Company by him do not enable the Company to provide notices and other communications to such Participant, then such Participant shall be deemed to have waived his or her right to receive any notices, and the Committee shall have the right, in its sole discretion, to take any appropriate action under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7" w:name="page118"/>
    <w:bookmarkEnd w:id="117"/>
    <w:p>
      <w:pPr>
        <w:jc w:val="right"/>
        <w:ind w:right="4359"/>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Appendixes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Appendix A: Terms of grant of options to Israeli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Option Grant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Form of Exercise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3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Appendix A</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Terms of grant of Options to Israeli employees</w:t>
      </w:r>
    </w:p>
    <w:p>
      <w:pPr>
        <w:spacing w:after="0" w:line="207" w:lineRule="exact"/>
        <w:rPr>
          <w:sz w:val="20"/>
          <w:szCs w:val="20"/>
          <w:color w:val="auto"/>
        </w:rPr>
      </w:pPr>
    </w:p>
    <w:p>
      <w:pPr>
        <w:ind w:left="640" w:hanging="632"/>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Appendix</w:t>
      </w:r>
    </w:p>
    <w:p>
      <w:pPr>
        <w:spacing w:after="0" w:line="252" w:lineRule="exact"/>
        <w:rPr>
          <w:sz w:val="20"/>
          <w:szCs w:val="20"/>
          <w:color w:val="auto"/>
        </w:rPr>
      </w:pPr>
    </w:p>
    <w:p>
      <w:pPr>
        <w:jc w:val="both"/>
        <w:ind w:left="1920" w:hanging="634"/>
        <w:spacing w:after="0" w:line="257" w:lineRule="auto"/>
        <w:tabs>
          <w:tab w:leader="none" w:pos="1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This Appendix (the “</w:t>
      </w:r>
      <w:r>
        <w:rPr>
          <w:rFonts w:ascii="Arial" w:cs="Arial" w:eastAsia="Arial" w:hAnsi="Arial"/>
          <w:sz w:val="18"/>
          <w:szCs w:val="18"/>
          <w:b w:val="1"/>
          <w:bCs w:val="1"/>
          <w:color w:val="auto"/>
        </w:rPr>
        <w:t>Appendix</w:t>
      </w:r>
      <w:r>
        <w:rPr>
          <w:rFonts w:ascii="Arial" w:cs="Arial" w:eastAsia="Arial" w:hAnsi="Arial"/>
          <w:sz w:val="18"/>
          <w:szCs w:val="18"/>
          <w:color w:val="auto"/>
        </w:rPr>
        <w:t>”) is made as part of the Plan (as defined herein whereas all terms not otherwise defined herein shall have the meaning ascribed to them in the Plan) and pursuant to the provisions of Section 102 of the Income Tax Ordinance (as defined herein).</w:t>
      </w:r>
    </w:p>
    <w:p>
      <w:pPr>
        <w:spacing w:after="0" w:line="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This Appendix governs grants of Options to Israeli Employees, either by a Trustee, or without a Trustee.</w:t>
      </w:r>
    </w:p>
    <w:p>
      <w:pPr>
        <w:spacing w:after="0" w:line="207" w:lineRule="exact"/>
        <w:rPr>
          <w:sz w:val="20"/>
          <w:szCs w:val="20"/>
          <w:color w:val="auto"/>
        </w:rPr>
      </w:pPr>
    </w:p>
    <w:p>
      <w:pPr>
        <w:ind w:left="640" w:hanging="632"/>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definitions shall apply:</w:t>
      </w:r>
    </w:p>
    <w:p>
      <w:pPr>
        <w:spacing w:after="0" w:line="22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Capital Gain Method</w:t>
      </w:r>
      <w:r>
        <w:rPr>
          <w:rFonts w:ascii="Arial" w:cs="Arial" w:eastAsia="Arial" w:hAnsi="Arial"/>
          <w:sz w:val="16"/>
          <w:szCs w:val="16"/>
          <w:color w:val="auto"/>
        </w:rPr>
        <w:t>” means choosing the alternative of capital gain method under Section 102.</w:t>
      </w:r>
    </w:p>
    <w:p>
      <w:pPr>
        <w:spacing w:after="0" w:line="27" w:lineRule="exact"/>
        <w:rPr>
          <w:sz w:val="20"/>
          <w:szCs w:val="20"/>
          <w:color w:val="auto"/>
        </w:rPr>
      </w:pPr>
    </w:p>
    <w:p>
      <w:pPr>
        <w:jc w:val="both"/>
        <w:ind w:left="1920" w:hanging="634"/>
        <w:spacing w:after="0" w:line="281" w:lineRule="auto"/>
        <w:tabs>
          <w:tab w:leader="none" w:pos="1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Eligible Participant</w:t>
      </w:r>
      <w:r>
        <w:rPr>
          <w:rFonts w:ascii="Arial" w:cs="Arial" w:eastAsia="Arial" w:hAnsi="Arial"/>
          <w:sz w:val="16"/>
          <w:szCs w:val="16"/>
          <w:color w:val="auto"/>
        </w:rPr>
        <w:t>” means any employee as such term is defined in Section 102. Without derogating from the foregoing Eligible Participant shall include any employee or Office Holder (as such term is defined in the Companies Law) of the Company or any Subsidiary except for such persons that are deemed to be ‘</w:t>
      </w:r>
      <w:r>
        <w:rPr>
          <w:rFonts w:ascii="Arial" w:cs="Arial" w:eastAsia="Arial" w:hAnsi="Arial"/>
          <w:sz w:val="16"/>
          <w:szCs w:val="16"/>
          <w:i w:val="1"/>
          <w:iCs w:val="1"/>
          <w:color w:val="auto"/>
        </w:rPr>
        <w:t>Ba’al Shlita</w:t>
      </w:r>
      <w:r>
        <w:rPr>
          <w:rFonts w:ascii="Arial" w:cs="Arial" w:eastAsia="Arial" w:hAnsi="Arial"/>
          <w:sz w:val="16"/>
          <w:szCs w:val="16"/>
          <w:color w:val="auto"/>
        </w:rPr>
        <w:t>’ under Section 32 to the Income Tax Ordinance.</w:t>
      </w:r>
    </w:p>
    <w:p>
      <w:pPr>
        <w:spacing w:after="0" w:line="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Deposit Date</w:t>
      </w:r>
      <w:r>
        <w:rPr>
          <w:rFonts w:ascii="Arial" w:cs="Arial" w:eastAsia="Arial" w:hAnsi="Arial"/>
          <w:sz w:val="16"/>
          <w:szCs w:val="16"/>
          <w:color w:val="auto"/>
        </w:rPr>
        <w:t>" means the date in which options were deposited with the Trustee for the benefit of a certain Participant.</w:t>
      </w:r>
    </w:p>
    <w:p>
      <w:pPr>
        <w:spacing w:after="0" w:line="9"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Income Tax Authorities</w:t>
      </w:r>
      <w:r>
        <w:rPr>
          <w:rFonts w:ascii="Arial" w:cs="Arial" w:eastAsia="Arial" w:hAnsi="Arial"/>
          <w:sz w:val="18"/>
          <w:szCs w:val="18"/>
          <w:color w:val="auto"/>
        </w:rPr>
        <w:t>” mean the Israeli income tax authorities that are authorized to give approvals in relation with this Appendix and Option Grants to Eligible Participants.</w:t>
      </w:r>
    </w:p>
    <w:p>
      <w:pPr>
        <w:spacing w:after="0" w:line="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Income Tax Ordinance</w:t>
      </w:r>
      <w:r>
        <w:rPr>
          <w:rFonts w:ascii="Arial" w:cs="Arial" w:eastAsia="Arial" w:hAnsi="Arial"/>
          <w:sz w:val="16"/>
          <w:szCs w:val="16"/>
          <w:color w:val="auto"/>
        </w:rPr>
        <w:t>” means the Israeli Income Tax Ordinance (New Version) 1961, as amended from time to time.</w:t>
      </w:r>
    </w:p>
    <w:p>
      <w:pPr>
        <w:spacing w:after="0" w:line="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Labor Income Method</w:t>
      </w:r>
      <w:r>
        <w:rPr>
          <w:rFonts w:ascii="Arial" w:cs="Arial" w:eastAsia="Arial" w:hAnsi="Arial"/>
          <w:sz w:val="16"/>
          <w:szCs w:val="16"/>
          <w:color w:val="auto"/>
        </w:rPr>
        <w:t>” means choosing the alternative of labor income method under Section 102.</w:t>
      </w:r>
    </w:p>
    <w:p>
      <w:pPr>
        <w:spacing w:after="0" w:line="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any Eligible Participant who is granted with Options.</w:t>
      </w:r>
    </w:p>
    <w:p>
      <w:pPr>
        <w:spacing w:after="0" w:line="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the 2010 Incentive Option Plan this Appendix is attached to.</w:t>
      </w:r>
    </w:p>
    <w:p>
      <w:pPr>
        <w:spacing w:after="0" w:line="9" w:lineRule="exact"/>
        <w:rPr>
          <w:sz w:val="20"/>
          <w:szCs w:val="20"/>
          <w:color w:val="auto"/>
        </w:rPr>
      </w:pPr>
    </w:p>
    <w:p>
      <w:pPr>
        <w:jc w:val="both"/>
        <w:ind w:left="1920" w:hanging="634"/>
        <w:spacing w:after="0" w:line="255" w:lineRule="auto"/>
        <w:tabs>
          <w:tab w:leader="none" w:pos="19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Realization Event</w:t>
      </w:r>
      <w:r>
        <w:rPr>
          <w:rFonts w:ascii="Arial" w:cs="Arial" w:eastAsia="Arial" w:hAnsi="Arial"/>
          <w:sz w:val="18"/>
          <w:szCs w:val="18"/>
          <w:color w:val="auto"/>
        </w:rPr>
        <w:t>” means, with respect to each Option Grant granted to a certain Participant, the earlier to occur of: (I) transfer of Securities from the Trustee to such Participant; or (II) the sale of Shares by the Trustee; or (III) one day before such Participant is no longer an Israeli resident (as provided for in Section 100A to the Income Tax Ordinance).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64" w:lineRule="exact"/>
        <w:rPr>
          <w:sz w:val="20"/>
          <w:szCs w:val="20"/>
          <w:color w:val="auto"/>
        </w:rPr>
      </w:pPr>
    </w:p>
    <w:p>
      <w:pPr>
        <w:ind w:left="1920" w:hanging="634"/>
        <w:spacing w:after="0" w:line="347" w:lineRule="auto"/>
        <w:tabs>
          <w:tab w:leader="none" w:pos="19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Release Term</w:t>
      </w:r>
      <w:r>
        <w:rPr>
          <w:rFonts w:ascii="Arial" w:cs="Arial" w:eastAsia="Arial" w:hAnsi="Arial"/>
          <w:sz w:val="16"/>
          <w:szCs w:val="16"/>
          <w:color w:val="auto"/>
        </w:rPr>
        <w:t>” means: (i) in the case of Capital Gains Method, a period ending twenty four (24) months after the Deposit Date; (ii) In the case of Labor Income Method ‘Release Term’ shall mean a period ending twelve (12) months after the Deposit Date.</w:t>
      </w:r>
    </w:p>
    <w:p>
      <w:pPr>
        <w:spacing w:after="0" w:line="116"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Section 102</w:t>
      </w:r>
      <w:r>
        <w:rPr>
          <w:rFonts w:ascii="Arial" w:cs="Arial" w:eastAsia="Arial" w:hAnsi="Arial"/>
          <w:sz w:val="18"/>
          <w:szCs w:val="18"/>
          <w:color w:val="auto"/>
        </w:rPr>
        <w:t>” means Section 102 to the Income Tax Ordinance as amended from time to time, and / or as superseded and any rules regulations or instructions promulgated or enacted under such Section 102.</w:t>
      </w:r>
    </w:p>
    <w:p>
      <w:pPr>
        <w:spacing w:after="0" w:line="162"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mean Options subject to a certain Option Grant and Shares received subsequent exercise of such Options.</w:t>
      </w:r>
    </w:p>
    <w:p>
      <w:pPr>
        <w:spacing w:after="0" w:line="225"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Tax Method</w:t>
      </w:r>
      <w:r>
        <w:rPr>
          <w:rFonts w:ascii="Arial" w:cs="Arial" w:eastAsia="Arial" w:hAnsi="Arial"/>
          <w:sz w:val="16"/>
          <w:szCs w:val="16"/>
          <w:color w:val="auto"/>
        </w:rPr>
        <w:t>” means either Capital Gains Method or Labor Income Method.</w:t>
      </w:r>
    </w:p>
    <w:p>
      <w:pPr>
        <w:spacing w:after="0" w:line="225"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2.14.</w:t>
        <w:tab/>
        <w:t>“</w:t>
      </w:r>
      <w:r>
        <w:rPr>
          <w:rFonts w:ascii="Arial" w:cs="Arial" w:eastAsia="Arial" w:hAnsi="Arial"/>
          <w:sz w:val="18"/>
          <w:szCs w:val="18"/>
          <w:b w:val="1"/>
          <w:bCs w:val="1"/>
          <w:color w:val="auto"/>
        </w:rPr>
        <w:t>Trust</w:t>
      </w:r>
      <w:r>
        <w:rPr>
          <w:rFonts w:ascii="Arial" w:cs="Arial" w:eastAsia="Arial" w:hAnsi="Arial"/>
          <w:sz w:val="18"/>
          <w:szCs w:val="18"/>
          <w:color w:val="auto"/>
        </w:rPr>
        <w:t>” means a trust, maintained under the Trust Agreement entered into between the Company and the Trustee for administration of grant of Options under Section 102.</w:t>
      </w:r>
    </w:p>
    <w:p>
      <w:pPr>
        <w:spacing w:after="0" w:line="162"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2.15.</w:t>
        <w:tab/>
        <w:t>“</w:t>
      </w:r>
      <w:r>
        <w:rPr>
          <w:rFonts w:ascii="Arial" w:cs="Arial" w:eastAsia="Arial" w:hAnsi="Arial"/>
          <w:sz w:val="18"/>
          <w:szCs w:val="18"/>
          <w:b w:val="1"/>
          <w:bCs w:val="1"/>
          <w:color w:val="auto"/>
        </w:rPr>
        <w:t>Trust Agreement</w:t>
      </w:r>
      <w:r>
        <w:rPr>
          <w:rFonts w:ascii="Arial" w:cs="Arial" w:eastAsia="Arial" w:hAnsi="Arial"/>
          <w:sz w:val="18"/>
          <w:szCs w:val="18"/>
          <w:color w:val="auto"/>
        </w:rPr>
        <w:t>” means the agreement between the Company and the Trustee as may be in effect from time to time specifying the duties and authorities of the Trustee.</w:t>
      </w:r>
    </w:p>
    <w:p>
      <w:pPr>
        <w:spacing w:after="0" w:line="162" w:lineRule="exact"/>
        <w:rPr>
          <w:sz w:val="20"/>
          <w:szCs w:val="20"/>
          <w:color w:val="auto"/>
        </w:rPr>
      </w:pPr>
    </w:p>
    <w:p>
      <w:pPr>
        <w:ind w:left="1920" w:right="20" w:hanging="634"/>
        <w:spacing w:after="0" w:line="282" w:lineRule="auto"/>
        <w:tabs>
          <w:tab w:leader="none" w:pos="1900" w:val="left"/>
        </w:tabs>
        <w:rPr>
          <w:sz w:val="20"/>
          <w:szCs w:val="20"/>
          <w:color w:val="auto"/>
        </w:rPr>
      </w:pPr>
      <w:r>
        <w:rPr>
          <w:rFonts w:ascii="Arial" w:cs="Arial" w:eastAsia="Arial" w:hAnsi="Arial"/>
          <w:sz w:val="18"/>
          <w:szCs w:val="18"/>
          <w:color w:val="auto"/>
        </w:rPr>
        <w:t>2.16.</w:t>
        <w:tab/>
        <w:t>“</w:t>
      </w:r>
      <w:r>
        <w:rPr>
          <w:rFonts w:ascii="Arial" w:cs="Arial" w:eastAsia="Arial" w:hAnsi="Arial"/>
          <w:sz w:val="18"/>
          <w:szCs w:val="18"/>
          <w:b w:val="1"/>
          <w:bCs w:val="1"/>
          <w:color w:val="auto"/>
        </w:rPr>
        <w:t>Trust Assets</w:t>
      </w:r>
      <w:r>
        <w:rPr>
          <w:rFonts w:ascii="Arial" w:cs="Arial" w:eastAsia="Arial" w:hAnsi="Arial"/>
          <w:sz w:val="18"/>
          <w:szCs w:val="18"/>
          <w:color w:val="auto"/>
        </w:rPr>
        <w:t>” mean all Securities and other assets held in Trust for the benefit of the Participants pursuant to this Appendix and the Trust Agreement</w:t>
      </w:r>
    </w:p>
    <w:p>
      <w:pPr>
        <w:spacing w:after="0" w:line="162"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2.17.</w:t>
        <w:tab/>
        <w:t>“</w:t>
      </w:r>
      <w:r>
        <w:rPr>
          <w:rFonts w:ascii="Arial" w:cs="Arial" w:eastAsia="Arial" w:hAnsi="Arial"/>
          <w:sz w:val="18"/>
          <w:szCs w:val="18"/>
          <w:b w:val="1"/>
          <w:bCs w:val="1"/>
          <w:color w:val="auto"/>
        </w:rPr>
        <w:t>Trustee</w:t>
      </w:r>
      <w:r>
        <w:rPr>
          <w:rFonts w:ascii="Arial" w:cs="Arial" w:eastAsia="Arial" w:hAnsi="Arial"/>
          <w:sz w:val="18"/>
          <w:szCs w:val="18"/>
          <w:color w:val="auto"/>
        </w:rPr>
        <w:t>” means ESOP Trust Company Ltd. (and any successor Trustee) who was, or shall be appointed by the Board of Directors of the Company and approved by the Income Tax Authorities to hold the Trust Assets.</w:t>
      </w:r>
    </w:p>
    <w:p>
      <w:pPr>
        <w:spacing w:after="0" w:line="162" w:lineRule="exact"/>
        <w:rPr>
          <w:sz w:val="20"/>
          <w:szCs w:val="20"/>
          <w:color w:val="auto"/>
        </w:rPr>
      </w:pPr>
    </w:p>
    <w:p>
      <w:pPr>
        <w:ind w:left="640" w:hanging="632"/>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the Appendix shall govern</w:t>
      </w:r>
    </w:p>
    <w:p>
      <w:pPr>
        <w:spacing w:after="0" w:line="256"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provisions of the Appendix shall supersede and govern in the case of any inconsistency or conflict arising between the provisions of the Appendix and the provisions of the Plan, provided, however, that this Appendix shall not be construed to grant Participant rights not consistent with the terms of the Plan, unless specifically provided herein.</w:t>
      </w:r>
    </w:p>
    <w:p>
      <w:pPr>
        <w:spacing w:after="0" w:line="177" w:lineRule="exact"/>
        <w:rPr>
          <w:rFonts w:ascii="Arial" w:cs="Arial" w:eastAsia="Arial" w:hAnsi="Arial"/>
          <w:sz w:val="18"/>
          <w:szCs w:val="18"/>
          <w:b w:val="1"/>
          <w:bCs w:val="1"/>
          <w:color w:val="auto"/>
        </w:rPr>
      </w:pPr>
    </w:p>
    <w:p>
      <w:pPr>
        <w:ind w:left="640" w:hanging="632"/>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of Tax Method – Capital Gains Method</w:t>
      </w:r>
    </w:p>
    <w:p>
      <w:pPr>
        <w:spacing w:after="0" w:line="25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chooses the Capital Gain Method (‘</w:t>
      </w:r>
      <w:r>
        <w:rPr>
          <w:rFonts w:ascii="Arial" w:cs="Arial" w:eastAsia="Arial" w:hAnsi="Arial"/>
          <w:sz w:val="18"/>
          <w:szCs w:val="18"/>
          <w:i w:val="1"/>
          <w:iCs w:val="1"/>
          <w:color w:val="auto"/>
        </w:rPr>
        <w:t>Maslul Revach Hon</w:t>
      </w:r>
      <w:r>
        <w:rPr>
          <w:rFonts w:ascii="Arial" w:cs="Arial" w:eastAsia="Arial" w:hAnsi="Arial"/>
          <w:sz w:val="18"/>
          <w:szCs w:val="18"/>
          <w:color w:val="auto"/>
        </w:rPr>
        <w:t>’). This choice may be changed in the future, by a Board resolution, provided, however, that the change in selection is permissible under the provisions of Section 102.</w:t>
      </w:r>
    </w:p>
    <w:p>
      <w:pPr>
        <w:spacing w:after="0" w:line="166" w:lineRule="exact"/>
        <w:rPr>
          <w:rFonts w:ascii="Arial" w:cs="Arial" w:eastAsia="Arial" w:hAnsi="Arial"/>
          <w:sz w:val="18"/>
          <w:szCs w:val="18"/>
          <w:b w:val="1"/>
          <w:bCs w:val="1"/>
          <w:color w:val="auto"/>
        </w:rPr>
      </w:pPr>
    </w:p>
    <w:p>
      <w:pPr>
        <w:ind w:left="640" w:hanging="632"/>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Holding of Securities by the Trustee</w:t>
      </w:r>
    </w:p>
    <w:p>
      <w:pPr>
        <w:spacing w:after="0" w:line="256"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All Securities shall be issued to the Trustee to be held in the Trust for the benefit of the relevant Participants. All certificates representing Securities issued to the Trustee under this Appendix shall be deposited with the Trustee, and shall be held by the Trustee until such time that such Options or Shares are released from the Trust as herein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68" w:lineRule="exact"/>
        <w:rPr>
          <w:sz w:val="20"/>
          <w:szCs w:val="20"/>
          <w:color w:val="auto"/>
        </w:rPr>
      </w:pPr>
    </w:p>
    <w:p>
      <w:pPr>
        <w:jc w:val="both"/>
        <w:ind w:left="1920" w:hanging="634"/>
        <w:spacing w:after="0" w:line="256" w:lineRule="auto"/>
        <w:tabs>
          <w:tab w:leader="none" w:pos="1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After the Release Term is over, a Participant shall be entitled to instruct the Trustee to transfer the Shares held for such Participant’s benefit to such Participant, provided, however, that the Trustee confirms that all applicable tax as set in Section 102 was actually paid and the Trustee holds a confirmation to that effect from Income Tax Authorities.</w:t>
      </w:r>
    </w:p>
    <w:p>
      <w:pPr>
        <w:jc w:val="both"/>
        <w:ind w:left="1920" w:hanging="634"/>
        <w:spacing w:after="0" w:line="290" w:lineRule="auto"/>
        <w:tabs>
          <w:tab w:leader="none" w:pos="1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In the case that the Company distributes dividends, than the amount of dividends with respect of Shares held in Trust shall be paid to the Participants that are the beneficial holders of such Shares, subject to deduction at source of the applicable tax.</w:t>
      </w:r>
    </w:p>
    <w:p>
      <w:pPr>
        <w:spacing w:after="0" w:line="158" w:lineRule="exact"/>
        <w:rPr>
          <w:sz w:val="20"/>
          <w:szCs w:val="20"/>
          <w:color w:val="auto"/>
        </w:rPr>
      </w:pPr>
    </w:p>
    <w:p>
      <w:pPr>
        <w:ind w:left="640" w:hanging="632"/>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governing this Appendix and Plan</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Notwithstanding anything to the contrary in the Plan or elsewhere in this Appendix:</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color w:val="auto"/>
        </w:rPr>
        <w:t>The Plan shall have one, sole, Trustee.</w:t>
      </w:r>
    </w:p>
    <w:p>
      <w:pPr>
        <w:spacing w:after="0" w:line="23"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Appendix shall be subject to one Tax Method, unless the provisions of Section 102 allow otherwise.</w:t>
      </w:r>
    </w:p>
    <w:p>
      <w:pPr>
        <w:spacing w:after="0" w:line="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Participants shall not be entitled to cause a Realization Event to occur unless the Release Term is fulfilled.</w:t>
      </w:r>
    </w:p>
    <w:p>
      <w:pPr>
        <w:spacing w:after="0" w:line="9" w:lineRule="exact"/>
        <w:rPr>
          <w:sz w:val="20"/>
          <w:szCs w:val="20"/>
          <w:color w:val="auto"/>
        </w:rPr>
      </w:pPr>
    </w:p>
    <w:p>
      <w:pPr>
        <w:jc w:val="both"/>
        <w:ind w:left="1920" w:hanging="634"/>
        <w:spacing w:after="0" w:line="255" w:lineRule="auto"/>
        <w:tabs>
          <w:tab w:leader="none" w:pos="19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All rights or benefits that are received subsequent to the grant or exercise the Options or the Shares underlying such Options (including and not limited to bonus shares) shall be deposited with the Trustee until the end of the Release Term, and all such rights and benefits shall be subject to the Tax Method selected by the Company.</w:t>
      </w:r>
    </w:p>
    <w:p>
      <w:pPr>
        <w:spacing w:after="0" w:line="186" w:lineRule="exact"/>
        <w:rPr>
          <w:sz w:val="20"/>
          <w:szCs w:val="20"/>
          <w:color w:val="auto"/>
        </w:rPr>
      </w:pPr>
    </w:p>
    <w:p>
      <w:pPr>
        <w:ind w:left="640" w:hanging="632"/>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the Appendix</w:t>
      </w:r>
    </w:p>
    <w:p>
      <w:pPr>
        <w:spacing w:after="0" w:line="256"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Appendix shall become effective, and Option Grants may be granted hereunder only after receipt the required approvals under Section 102 from the Income Tax Authorities.</w:t>
      </w:r>
    </w:p>
    <w:p>
      <w:pPr>
        <w:spacing w:after="0" w:line="166" w:lineRule="exact"/>
        <w:rPr>
          <w:rFonts w:ascii="Arial" w:cs="Arial" w:eastAsia="Arial" w:hAnsi="Arial"/>
          <w:sz w:val="18"/>
          <w:szCs w:val="18"/>
          <w:b w:val="1"/>
          <w:bCs w:val="1"/>
          <w:color w:val="auto"/>
        </w:rPr>
      </w:pPr>
    </w:p>
    <w:p>
      <w:pPr>
        <w:ind w:left="640" w:hanging="632"/>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limitations</w:t>
      </w:r>
    </w:p>
    <w:p>
      <w:pPr>
        <w:spacing w:after="0" w:line="256" w:lineRule="exact"/>
        <w:rPr>
          <w:sz w:val="20"/>
          <w:szCs w:val="20"/>
          <w:color w:val="auto"/>
        </w:rPr>
      </w:pPr>
    </w:p>
    <w:p>
      <w:pPr>
        <w:jc w:val="both"/>
        <w:ind w:left="1920" w:hanging="634"/>
        <w:spacing w:after="0" w:line="269" w:lineRule="auto"/>
        <w:tabs>
          <w:tab w:leader="none" w:pos="19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 xml:space="preserve">The Company shall not issue Options to a Participant unless such Participant confirmed in writing that he/she is aware of the provisions of Section 102 and the applicable Tax Method, and such Participant agreed in writing to the terms of the Trust Agreement, and that he/she shall not cause a Realization Event to occur before the Release Term is over. The form for the above confirmation shall be determined by the Committee, and shall be attached to the Plan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 w:lineRule="exact"/>
        <w:rPr>
          <w:sz w:val="20"/>
          <w:szCs w:val="20"/>
          <w:color w:val="auto"/>
        </w:rPr>
      </w:pPr>
    </w:p>
    <w:p>
      <w:pPr>
        <w:jc w:val="both"/>
        <w:ind w:left="1920" w:hanging="634"/>
        <w:spacing w:after="0" w:line="250" w:lineRule="auto"/>
        <w:tabs>
          <w:tab w:leader="none" w:pos="19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 xml:space="preserve">By accepting an Option Grant, each Participant agrees irrevocably to discharge the Trustee, the Company and any other office holder, employee or agent thereof from any liability with respect of any action or decision duly taken and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executed in relation with the Plan, or relating to any Option Grant or Shares.</w:t>
      </w:r>
    </w:p>
    <w:p>
      <w:pPr>
        <w:spacing w:after="0" w:line="1" w:lineRule="exact"/>
        <w:rPr>
          <w:sz w:val="20"/>
          <w:szCs w:val="20"/>
          <w:color w:val="auto"/>
        </w:rPr>
      </w:pPr>
    </w:p>
    <w:p>
      <w:pPr>
        <w:jc w:val="both"/>
        <w:ind w:left="1920" w:hanging="634"/>
        <w:spacing w:after="0" w:line="261" w:lineRule="auto"/>
        <w:tabs>
          <w:tab w:leader="none" w:pos="19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Trustee shall use the voting rights vested in any such shares issued upon the exercise of any Options granted under the Plan, in accordance with Exhibit C of the Plan.</w:t>
      </w:r>
    </w:p>
    <w:p>
      <w:pPr>
        <w:spacing w:after="0" w:line="180" w:lineRule="exact"/>
        <w:rPr>
          <w:sz w:val="20"/>
          <w:szCs w:val="20"/>
          <w:color w:val="auto"/>
        </w:rPr>
      </w:pPr>
    </w:p>
    <w:p>
      <w:pPr>
        <w:ind w:left="640" w:hanging="632"/>
        <w:spacing w:after="0"/>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 not by a Trustee</w:t>
      </w:r>
    </w:p>
    <w:p>
      <w:pPr>
        <w:spacing w:after="0" w:line="256"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Notwithstanding the above, the Company shall be entitled to allocate Option Grants not according to the Tax Methods, but by direct grant to Participants, provided, however, that the requirements of Section 102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3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ADDENDUM</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Terms of Options granted to United States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Employees and Service Providers</w:t>
      </w:r>
    </w:p>
    <w:p>
      <w:pPr>
        <w:spacing w:after="0" w:line="207" w:lineRule="exact"/>
        <w:rPr>
          <w:sz w:val="20"/>
          <w:szCs w:val="20"/>
          <w:color w:val="auto"/>
        </w:rPr>
      </w:pPr>
    </w:p>
    <w:p>
      <w:pPr>
        <w:ind w:left="640" w:hanging="632"/>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Addendum</w:t>
      </w:r>
    </w:p>
    <w:p>
      <w:pPr>
        <w:spacing w:after="0" w:line="225" w:lineRule="exact"/>
        <w:rPr>
          <w:rFonts w:ascii="Arial" w:cs="Arial" w:eastAsia="Arial" w:hAnsi="Arial"/>
          <w:sz w:val="18"/>
          <w:szCs w:val="18"/>
          <w:b w:val="1"/>
          <w:bCs w:val="1"/>
          <w:color w:val="auto"/>
        </w:rPr>
      </w:pPr>
    </w:p>
    <w:p>
      <w:pPr>
        <w:jc w:val="both"/>
        <w:ind w:left="6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This Addendum (also referred to as the "</w:t>
      </w:r>
      <w:r>
        <w:rPr>
          <w:rFonts w:ascii="Arial" w:cs="Arial" w:eastAsia="Arial" w:hAnsi="Arial"/>
          <w:sz w:val="18"/>
          <w:szCs w:val="18"/>
          <w:b w:val="1"/>
          <w:bCs w:val="1"/>
          <w:color w:val="auto"/>
        </w:rPr>
        <w:t>Addendum</w:t>
      </w:r>
      <w:r>
        <w:rPr>
          <w:rFonts w:ascii="Arial" w:cs="Arial" w:eastAsia="Arial" w:hAnsi="Arial"/>
          <w:sz w:val="18"/>
          <w:szCs w:val="18"/>
          <w:color w:val="auto"/>
        </w:rPr>
        <w:t>") is part of the 2010 Incentive Option Plan of Alocbra Ltd. (the "</w:t>
      </w:r>
      <w:r>
        <w:rPr>
          <w:rFonts w:ascii="Arial" w:cs="Arial" w:eastAsia="Arial" w:hAnsi="Arial"/>
          <w:sz w:val="18"/>
          <w:szCs w:val="18"/>
          <w:b w:val="1"/>
          <w:bCs w:val="1"/>
          <w:color w:val="auto"/>
        </w:rPr>
        <w:t>Plan</w:t>
      </w:r>
      <w:r>
        <w:rPr>
          <w:rFonts w:ascii="Arial" w:cs="Arial" w:eastAsia="Arial" w:hAnsi="Arial"/>
          <w:sz w:val="18"/>
          <w:szCs w:val="18"/>
          <w:color w:val="auto"/>
        </w:rPr>
        <w:t>"). All terms not otherwise defined herein shall have the meaning ascribed to them in the Plan. This Addendum governs grants of Options to United States Employees and other Service Providers.</w:t>
      </w:r>
    </w:p>
    <w:p>
      <w:pPr>
        <w:spacing w:after="0" w:line="176" w:lineRule="exact"/>
        <w:rPr>
          <w:rFonts w:ascii="Arial" w:cs="Arial" w:eastAsia="Arial" w:hAnsi="Arial"/>
          <w:sz w:val="18"/>
          <w:szCs w:val="18"/>
          <w:b w:val="1"/>
          <w:bCs w:val="1"/>
          <w:color w:val="auto"/>
        </w:rPr>
      </w:pPr>
    </w:p>
    <w:p>
      <w:pPr>
        <w:ind w:left="640" w:hanging="632"/>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the Addendum</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provisions of the Addendum shall supersede and govern in the case of inconsistency between the provisions of the Addendum and the provisions of the Plan, provided, however, that this Addendum shall not be construed to grant to any Participant rights not consistent with the terms of the Plan, unless specifically provided herein.</w:t>
      </w:r>
    </w:p>
    <w:p>
      <w:pPr>
        <w:spacing w:after="0" w:line="177" w:lineRule="exact"/>
        <w:rPr>
          <w:rFonts w:ascii="Arial" w:cs="Arial" w:eastAsia="Arial" w:hAnsi="Arial"/>
          <w:sz w:val="18"/>
          <w:szCs w:val="18"/>
          <w:b w:val="1"/>
          <w:bCs w:val="1"/>
          <w:color w:val="auto"/>
        </w:rPr>
      </w:pPr>
    </w:p>
    <w:p>
      <w:pPr>
        <w:ind w:left="640" w:hanging="632"/>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rFonts w:ascii="Arial" w:cs="Arial" w:eastAsia="Arial" w:hAnsi="Arial"/>
          <w:sz w:val="18"/>
          <w:szCs w:val="18"/>
          <w:b w:val="1"/>
          <w:bCs w:val="1"/>
          <w:color w:val="auto"/>
        </w:rPr>
      </w:pPr>
    </w:p>
    <w:p>
      <w:pPr>
        <w:jc w:val="both"/>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individuals who shall be eligible to receive Option Grants under the Plan that are subject to the provisions of this Addendum shall be employees, directors and other individuals and entities who are United States citizens or who are resident aliens of the United States for United States federal tax purposes (collectively, “</w:t>
      </w:r>
      <w:r>
        <w:rPr>
          <w:rFonts w:ascii="Arial" w:cs="Arial" w:eastAsia="Arial" w:hAnsi="Arial"/>
          <w:sz w:val="16"/>
          <w:szCs w:val="16"/>
          <w:b w:val="1"/>
          <w:bCs w:val="1"/>
          <w:color w:val="auto"/>
        </w:rPr>
        <w:t>U.S. Persons</w:t>
      </w:r>
      <w:r>
        <w:rPr>
          <w:rFonts w:ascii="Arial" w:cs="Arial" w:eastAsia="Arial" w:hAnsi="Arial"/>
          <w:sz w:val="16"/>
          <w:szCs w:val="16"/>
          <w:color w:val="auto"/>
        </w:rPr>
        <w:t>”), and who render services to the management, operation or development of the Company or a Subsidiary and who have contributed or may be expected to contribute materially to the success of the Company or a Subsidiary. ISOs (as defined in Section 4 below) shall not be granted to any individual who is not an employee of a corporation for United States federal tax purposes. The term “</w:t>
      </w:r>
      <w:r>
        <w:rPr>
          <w:rFonts w:ascii="Arial" w:cs="Arial" w:eastAsia="Arial" w:hAnsi="Arial"/>
          <w:sz w:val="16"/>
          <w:szCs w:val="16"/>
          <w:b w:val="1"/>
          <w:bCs w:val="1"/>
          <w:color w:val="auto"/>
        </w:rPr>
        <w:t>Subsidiary</w:t>
      </w:r>
      <w:r>
        <w:rPr>
          <w:rFonts w:ascii="Arial" w:cs="Arial" w:eastAsia="Arial" w:hAnsi="Arial"/>
          <w:sz w:val="16"/>
          <w:szCs w:val="16"/>
          <w:color w:val="auto"/>
        </w:rPr>
        <w:t>” as used in this Addendum means a corporation or other business entity of which the Company owns, directly or indirectly through an unbroken chain of ownership, fifty percent or more of the total combined voting power of all classes of stock.</w:t>
      </w:r>
    </w:p>
    <w:p>
      <w:pPr>
        <w:spacing w:after="0" w:line="163" w:lineRule="exact"/>
        <w:rPr>
          <w:rFonts w:ascii="Arial" w:cs="Arial" w:eastAsia="Arial" w:hAnsi="Arial"/>
          <w:sz w:val="18"/>
          <w:szCs w:val="18"/>
          <w:b w:val="1"/>
          <w:bCs w:val="1"/>
          <w:color w:val="auto"/>
        </w:rPr>
      </w:pPr>
    </w:p>
    <w:p>
      <w:pPr>
        <w:ind w:left="640" w:hanging="632"/>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25"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Every Option granted to a U.S. Person shall be evidenced by a written stock option agreement (the "</w:t>
      </w:r>
      <w:r>
        <w:rPr>
          <w:rFonts w:ascii="Arial" w:cs="Arial" w:eastAsia="Arial" w:hAnsi="Arial"/>
          <w:sz w:val="18"/>
          <w:szCs w:val="18"/>
          <w:b w:val="1"/>
          <w:bCs w:val="1"/>
          <w:color w:val="auto"/>
        </w:rPr>
        <w:t>Stock Option Agreement</w:t>
      </w:r>
      <w:r>
        <w:rPr>
          <w:rFonts w:ascii="Arial" w:cs="Arial" w:eastAsia="Arial" w:hAnsi="Arial"/>
          <w:sz w:val="18"/>
          <w:szCs w:val="18"/>
          <w:color w:val="auto"/>
        </w:rPr>
        <w:t>") in such form as the Committee shall approve from time to time, specifying the number of Shares that may be purchased pursuant to the Option, the time or times at which the Option shall become exercisable in whole or in part, whether the Option is intended to be an incentive stock option (“</w:t>
      </w:r>
      <w:r>
        <w:rPr>
          <w:rFonts w:ascii="Arial" w:cs="Arial" w:eastAsia="Arial" w:hAnsi="Arial"/>
          <w:sz w:val="18"/>
          <w:szCs w:val="18"/>
          <w:b w:val="1"/>
          <w:bCs w:val="1"/>
          <w:color w:val="auto"/>
        </w:rPr>
        <w:t>ISO</w:t>
      </w:r>
      <w:r>
        <w:rPr>
          <w:rFonts w:ascii="Arial" w:cs="Arial" w:eastAsia="Arial" w:hAnsi="Arial"/>
          <w:sz w:val="18"/>
          <w:szCs w:val="18"/>
          <w:color w:val="auto"/>
        </w:rPr>
        <w:t>”) or a nonqualified stock option (“</w:t>
      </w:r>
      <w:r>
        <w:rPr>
          <w:rFonts w:ascii="Arial" w:cs="Arial" w:eastAsia="Arial" w:hAnsi="Arial"/>
          <w:sz w:val="18"/>
          <w:szCs w:val="18"/>
          <w:b w:val="1"/>
          <w:bCs w:val="1"/>
          <w:color w:val="auto"/>
        </w:rPr>
        <w:t>NSO</w:t>
      </w:r>
      <w:r>
        <w:rPr>
          <w:rFonts w:ascii="Arial" w:cs="Arial" w:eastAsia="Arial" w:hAnsi="Arial"/>
          <w:sz w:val="18"/>
          <w:szCs w:val="18"/>
          <w:color w:val="auto"/>
        </w:rPr>
        <w:t>”) and such other terms and conditions as the Committee shall approve, and containing or incorporating by reference the following terms and conditions. The Plan and this Addendum shall be administered in such a manner as to permit those Options granted hereunder and specially designated as an ISO to qualify as incentive stock options as described in Section 422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2" w:name="page123"/>
    <w:bookmarkEnd w:id="122"/>
    <w:p>
      <w:pPr>
        <w:ind w:left="4360"/>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41" w:lineRule="exact"/>
        <w:rPr>
          <w:sz w:val="20"/>
          <w:szCs w:val="20"/>
          <w:color w:val="auto"/>
        </w:rPr>
      </w:pPr>
    </w:p>
    <w:p>
      <w:pPr>
        <w:jc w:val="both"/>
        <w:ind w:left="-540" w:firstLine="645"/>
        <w:spacing w:after="0" w:line="286" w:lineRule="auto"/>
        <w:tabs>
          <w:tab w:leader="none" w:pos="38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Duration</w:t>
      </w:r>
      <w:r>
        <w:rPr>
          <w:rFonts w:ascii="Arial" w:cs="Arial" w:eastAsia="Arial" w:hAnsi="Arial"/>
          <w:sz w:val="17"/>
          <w:szCs w:val="17"/>
          <w:color w:val="auto"/>
        </w:rPr>
        <w:t>. Each Option shall expire no later than ten (10) years from its grant date; provided, however, that no ISO granted to an Employee who owns (directly or under the attribution rules of Section 424(d) of the Code) stock possessing more than ten percent of the total combined voting power of all classes of stock of the Company or any Subsidiary shall expire later than five (5) years from its date of grant.</w:t>
      </w:r>
    </w:p>
    <w:p>
      <w:pPr>
        <w:spacing w:after="0" w:line="165" w:lineRule="exact"/>
        <w:rPr>
          <w:rFonts w:ascii="Arial" w:cs="Arial" w:eastAsia="Arial" w:hAnsi="Arial"/>
          <w:sz w:val="17"/>
          <w:szCs w:val="17"/>
          <w:color w:val="auto"/>
        </w:rPr>
      </w:pPr>
    </w:p>
    <w:p>
      <w:pPr>
        <w:jc w:val="both"/>
        <w:ind w:left="-540" w:firstLine="645"/>
        <w:spacing w:after="0" w:line="267" w:lineRule="auto"/>
        <w:tabs>
          <w:tab w:leader="none" w:pos="363"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each Option shall be as specified by the Committee in its discretion; provided, however, that the price shall be at least 100 percent of the Fair Market Value (as hereinafter defined) of the Shares on the date on which the Board grants the Option (or shareholders resolution to grant such options, if such resolution is required), which shall be considered the date of grant of the Option for purposes of fixing the price; and provided, further, that the price with respect to an ISO granted to an Employee who at the time of grant owns (directly or under the attribution rules of Section 424(d) of the Code) stock representing more than ten percent (10%) of the voting power of all classes of stock of the Company or of any Subsidiary shall be at least 110 percent of the Fair Market Value of the Shares on the date of grant of the ISO. For purposes of the Plan, except as may be otherwise explicitly provided in the Plan or in any Stock Option Agreement, the “</w:t>
      </w:r>
      <w:r>
        <w:rPr>
          <w:rFonts w:ascii="Arial" w:cs="Arial" w:eastAsia="Arial" w:hAnsi="Arial"/>
          <w:sz w:val="17"/>
          <w:szCs w:val="17"/>
          <w:b w:val="1"/>
          <w:bCs w:val="1"/>
          <w:color w:val="auto"/>
        </w:rPr>
        <w:t>Fair Market</w:t>
      </w:r>
      <w:r>
        <w:rPr>
          <w:rFonts w:ascii="Arial" w:cs="Arial" w:eastAsia="Arial" w:hAnsi="Arial"/>
          <w:sz w:val="17"/>
          <w:szCs w:val="17"/>
          <w:color w:val="auto"/>
        </w:rPr>
        <w:t xml:space="preserve"> </w:t>
      </w:r>
      <w:r>
        <w:rPr>
          <w:rFonts w:ascii="Arial" w:cs="Arial" w:eastAsia="Arial" w:hAnsi="Arial"/>
          <w:sz w:val="17"/>
          <w:szCs w:val="17"/>
          <w:b w:val="1"/>
          <w:bCs w:val="1"/>
          <w:color w:val="auto"/>
        </w:rPr>
        <w:t>Value</w:t>
      </w:r>
      <w:r>
        <w:rPr>
          <w:rFonts w:ascii="Arial" w:cs="Arial" w:eastAsia="Arial" w:hAnsi="Arial"/>
          <w:sz w:val="17"/>
          <w:szCs w:val="17"/>
          <w:color w:val="auto"/>
        </w:rPr>
        <w:t>” of a Share at any particular date shall be determined according to the following rules: (i) if the Shares are not at the time listed or admitted to</w:t>
      </w:r>
      <w:r>
        <w:rPr>
          <w:rFonts w:ascii="Arial" w:cs="Arial" w:eastAsia="Arial" w:hAnsi="Arial"/>
          <w:sz w:val="17"/>
          <w:szCs w:val="17"/>
          <w:b w:val="1"/>
          <w:bCs w:val="1"/>
          <w:color w:val="auto"/>
        </w:rPr>
        <w:t xml:space="preserve"> </w:t>
      </w:r>
      <w:r>
        <w:rPr>
          <w:rFonts w:ascii="Arial" w:cs="Arial" w:eastAsia="Arial" w:hAnsi="Arial"/>
          <w:sz w:val="17"/>
          <w:szCs w:val="17"/>
          <w:color w:val="auto"/>
        </w:rPr>
        <w:t>trading on a stock exchange, the Fair Market Value shall be the closing price of the Shares on the date in question in the over-the-counter market, as such price is reported in a publication of general circulation selected by the Board and regularly reporting the price of the Shares in such market; provided, however, that if the price of the Shares is not so reported, the Fair Market Value shall be determined in good faith by the Board, which may take into consideration (1) the price paid for the Shares in the most recent trade of a substantial number of shares known to the Board to have occurred at arm’s length between willing and knowledgeable investors, (2) an appraisal by an independent party or (3) any other method of valuation undertaken in good faith by the Board, or some or all of the above as the Board shall in its discretion elect; or (ii) if the Shares are at the time listed or admitted to trading on any stock exchange, then the Fair Market Value shall be the last known closing price of the Shares when the relevant Option Grant is approved by the Company. Notwithstanding Subsection (ii) above, the Administrator may adopt any other method in order to determine the Fair Market Value of a Share, as long as use of such method will not give rise to adverse tax consequences under Internal Revenue Code Section 409A.</w:t>
      </w:r>
    </w:p>
    <w:p>
      <w:pPr>
        <w:spacing w:after="0" w:line="191" w:lineRule="exact"/>
        <w:rPr>
          <w:rFonts w:ascii="Arial" w:cs="Arial" w:eastAsia="Arial" w:hAnsi="Arial"/>
          <w:sz w:val="17"/>
          <w:szCs w:val="17"/>
          <w:color w:val="auto"/>
        </w:rPr>
      </w:pPr>
    </w:p>
    <w:p>
      <w:pPr>
        <w:jc w:val="both"/>
        <w:ind w:left="-540" w:firstLine="645"/>
        <w:spacing w:after="0" w:line="264" w:lineRule="auto"/>
        <w:tabs>
          <w:tab w:leader="none" w:pos="353"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Notice of ISO Stock Disposition</w:t>
      </w:r>
      <w:r>
        <w:rPr>
          <w:rFonts w:ascii="Arial" w:cs="Arial" w:eastAsia="Arial" w:hAnsi="Arial"/>
          <w:sz w:val="18"/>
          <w:szCs w:val="18"/>
          <w:color w:val="auto"/>
        </w:rPr>
        <w:t>. The Participant must notify the Company promptly in the event that he sells, transfers, exchanges or otherwise disposes of any Shares issued upon exercise of an ISO before the later of (i) the second anniversary of the date of grant of the ISO or (ii) the first anniversary of the date the shares were issued upon his exercise of the 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398780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33"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jc w:val="both"/>
        <w:ind w:left="660" w:firstLine="645"/>
        <w:spacing w:after="0" w:line="264" w:lineRule="auto"/>
        <w:tabs>
          <w:tab w:leader="none" w:pos="1563" w:val="left"/>
        </w:tabs>
        <w:numPr>
          <w:ilvl w:val="2"/>
          <w:numId w:val="106"/>
        </w:numPr>
        <w:rPr>
          <w:rFonts w:ascii="Arial" w:cs="Arial" w:eastAsia="Arial" w:hAnsi="Arial"/>
          <w:sz w:val="18"/>
          <w:szCs w:val="18"/>
          <w:color w:val="auto"/>
        </w:rPr>
      </w:pPr>
      <w:r>
        <w:rPr>
          <w:rFonts w:ascii="Arial" w:cs="Arial" w:eastAsia="Arial" w:hAnsi="Arial"/>
          <w:sz w:val="18"/>
          <w:szCs w:val="18"/>
          <w:u w:val="single" w:color="auto"/>
          <w:color w:val="auto"/>
        </w:rPr>
        <w:t>Effect of Cessation of Employment or Service Relationship</w:t>
      </w:r>
      <w:r>
        <w:rPr>
          <w:rFonts w:ascii="Arial" w:cs="Arial" w:eastAsia="Arial" w:hAnsi="Arial"/>
          <w:sz w:val="18"/>
          <w:szCs w:val="18"/>
          <w:color w:val="auto"/>
        </w:rPr>
        <w:t>. The Committee shall determine in its discretion and specify in each Stock Option Agreement the effect, if any, of the termination of the Participant’s employment with or performance of services for the Company or any Subsidiary on the exercisability of the Option.</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553" w:val="left"/>
        </w:tabs>
        <w:numPr>
          <w:ilvl w:val="2"/>
          <w:numId w:val="106"/>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 Participant shall have no rights as a stockholder with respect to any Shares covered by an Option until the date of issuance of a stock certificate to him for the Shares. No adjustment shall be made for dividends or other rights for which the record date is earlier than the date the stock certificate is issued, other than as required or permitted by the Plan.</w:t>
      </w:r>
    </w:p>
    <w:p>
      <w:pPr>
        <w:spacing w:after="0" w:line="181" w:lineRule="exact"/>
        <w:rPr>
          <w:rFonts w:ascii="Arial" w:cs="Arial" w:eastAsia="Arial" w:hAnsi="Arial"/>
          <w:sz w:val="18"/>
          <w:szCs w:val="18"/>
          <w:color w:val="auto"/>
        </w:rPr>
      </w:pPr>
    </w:p>
    <w:p>
      <w:pPr>
        <w:jc w:val="both"/>
        <w:ind w:left="660" w:firstLine="645"/>
        <w:spacing w:after="0" w:line="279" w:lineRule="auto"/>
        <w:tabs>
          <w:tab w:leader="none" w:pos="1533" w:val="left"/>
        </w:tabs>
        <w:numPr>
          <w:ilvl w:val="2"/>
          <w:numId w:val="106"/>
        </w:numPr>
        <w:rPr>
          <w:rFonts w:ascii="Arial" w:cs="Arial" w:eastAsia="Arial" w:hAnsi="Arial"/>
          <w:sz w:val="17"/>
          <w:szCs w:val="17"/>
          <w:color w:val="auto"/>
        </w:rPr>
      </w:pPr>
      <w:r>
        <w:rPr>
          <w:rFonts w:ascii="Arial" w:cs="Arial" w:eastAsia="Arial" w:hAnsi="Arial"/>
          <w:sz w:val="17"/>
          <w:szCs w:val="17"/>
          <w:u w:val="single" w:color="auto"/>
          <w:color w:val="auto"/>
        </w:rPr>
        <w:t>Transferability of Options</w:t>
      </w:r>
      <w:r>
        <w:rPr>
          <w:rFonts w:ascii="Arial" w:cs="Arial" w:eastAsia="Arial" w:hAnsi="Arial"/>
          <w:sz w:val="17"/>
          <w:szCs w:val="17"/>
          <w:color w:val="auto"/>
        </w:rPr>
        <w:t>. Except as permitted by the Committee, and set forth in the terms of a Participant’s Stock Option Agreement, an Option shall not be assignable or transferable by the Participant except by will or by the laws of descent and distribution. During the life of the Participant, an Option shall be exercisable only by him, by a conservator or guardian duly appointed for him by reason of his incapacity or by the person appointed by the Participant in a durable power of attorney acceptable to the Company’s counsel.</w:t>
      </w:r>
    </w:p>
    <w:p>
      <w:pPr>
        <w:spacing w:after="0" w:line="167" w:lineRule="exact"/>
        <w:rPr>
          <w:rFonts w:ascii="Arial" w:cs="Arial" w:eastAsia="Arial" w:hAnsi="Arial"/>
          <w:sz w:val="17"/>
          <w:szCs w:val="17"/>
          <w:color w:val="auto"/>
        </w:rPr>
      </w:pPr>
    </w:p>
    <w:p>
      <w:pPr>
        <w:ind w:left="640" w:hanging="632"/>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w:t>
      </w:r>
    </w:p>
    <w:p>
      <w:pPr>
        <w:spacing w:after="0" w:line="229" w:lineRule="exact"/>
        <w:rPr>
          <w:rFonts w:ascii="Arial" w:cs="Arial" w:eastAsia="Arial" w:hAnsi="Arial"/>
          <w:sz w:val="18"/>
          <w:szCs w:val="18"/>
          <w:b w:val="1"/>
          <w:bCs w:val="1"/>
          <w:color w:val="auto"/>
        </w:rPr>
      </w:pPr>
    </w:p>
    <w:p>
      <w:pPr>
        <w:jc w:val="both"/>
        <w:ind w:left="1280" w:hanging="624"/>
        <w:spacing w:after="0" w:line="270" w:lineRule="auto"/>
        <w:tabs>
          <w:tab w:leader="none" w:pos="12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Company shall not be required to transfer Shares or to sell or issue any Shares upon the exercise of any Option if the issuance of such Shares will result in a violation by the Participant or the Company of any provisions of any law, statute or regulation of any governmental authority. Specifically, in connection with the Securities Act of 1933, as amended from time to time (the “</w:t>
      </w:r>
      <w:r>
        <w:rPr>
          <w:rFonts w:ascii="Arial" w:cs="Arial" w:eastAsia="Arial" w:hAnsi="Arial"/>
          <w:sz w:val="17"/>
          <w:szCs w:val="17"/>
          <w:b w:val="1"/>
          <w:bCs w:val="1"/>
          <w:color w:val="auto"/>
        </w:rPr>
        <w:t>Securities Act</w:t>
      </w:r>
      <w:r>
        <w:rPr>
          <w:rFonts w:ascii="Arial" w:cs="Arial" w:eastAsia="Arial" w:hAnsi="Arial"/>
          <w:sz w:val="17"/>
          <w:szCs w:val="17"/>
          <w:color w:val="auto"/>
        </w:rPr>
        <w:t>”), upon the exercise of any Option, the Company will not be required to issue Shares unless the Committee has received evidence satisfactory to it to the effect that the holder of the Option will not transfer such shares except pursuant to a registration statement in effect under the Securities Act or unless an opinion of counsel satisfactory to the Company has been received by the Company to the effect that registration is not required. Any determination in this connection by the Committee shall be conclusive. The Company shall not be obligated to take any other affirmative action in order to cause the exercise of an Option to comply with any law or regulations of any governmental authority, including, without limitation, the Securities Act or applicable state securities laws.</w:t>
      </w:r>
    </w:p>
    <w:p>
      <w:pPr>
        <w:spacing w:after="0" w:line="181" w:lineRule="exact"/>
        <w:rPr>
          <w:rFonts w:ascii="Arial" w:cs="Arial" w:eastAsia="Arial" w:hAnsi="Arial"/>
          <w:sz w:val="17"/>
          <w:szCs w:val="17"/>
          <w:color w:val="auto"/>
        </w:rPr>
      </w:pPr>
    </w:p>
    <w:p>
      <w:pPr>
        <w:jc w:val="both"/>
        <w:ind w:left="1280" w:hanging="624"/>
        <w:spacing w:after="0" w:line="259" w:lineRule="auto"/>
        <w:tabs>
          <w:tab w:leader="none" w:pos="12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other provisions of this Addendum and the Plan notwithstanding, this Addendum and the Plan shall be administered and construed so as to avoid any person who receives an Option Grant incurring any adverse tax consequences under Internal Revenue Code Section 409A. The Administrator shall suspend the application of any provisions of the Plan which could, in its sole determination, result in an adverse tax consequence to any person under Internal Revenue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for Dishonesty or Termination for Cause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Notwithstanding any provision of the Plan to the contrary, if the Committee determines, after full consideration of the facts, that:</w:t>
      </w:r>
    </w:p>
    <w:p>
      <w:pPr>
        <w:spacing w:after="0" w:line="225" w:lineRule="exact"/>
        <w:rPr>
          <w:rFonts w:ascii="Arial" w:cs="Arial" w:eastAsia="Arial" w:hAnsi="Arial"/>
          <w:sz w:val="18"/>
          <w:szCs w:val="18"/>
          <w:b w:val="1"/>
          <w:bCs w:val="1"/>
          <w:color w:val="auto"/>
        </w:rPr>
      </w:pPr>
    </w:p>
    <w:p>
      <w:pPr>
        <w:jc w:val="both"/>
        <w:ind w:left="660" w:firstLine="645"/>
        <w:spacing w:after="0" w:line="279" w:lineRule="auto"/>
        <w:tabs>
          <w:tab w:leader="none" w:pos="15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Participant has been engaged in fraud, embezzlement, theft or commission of a felony in the course of his or her employment by or involvement with the Company, a Subsidiary or a parent corporation as defined in Section 424 of the Code or any direct or indirect subsidiary of such parent (an “</w:t>
      </w:r>
      <w:r>
        <w:rPr>
          <w:rFonts w:ascii="Arial" w:cs="Arial" w:eastAsia="Arial" w:hAnsi="Arial"/>
          <w:sz w:val="17"/>
          <w:szCs w:val="17"/>
          <w:b w:val="1"/>
          <w:bCs w:val="1"/>
          <w:color w:val="auto"/>
        </w:rPr>
        <w:t>Affiliate</w:t>
      </w:r>
      <w:r>
        <w:rPr>
          <w:rFonts w:ascii="Arial" w:cs="Arial" w:eastAsia="Arial" w:hAnsi="Arial"/>
          <w:sz w:val="17"/>
          <w:szCs w:val="17"/>
          <w:color w:val="auto"/>
        </w:rPr>
        <w:t>”) or has made unauthorized disclosure of trade secrets or other proprietary information of the Company, a Subsidiary, an Affiliate or of a third party who has entrusted such information to the Company, a Subsidiary or an Affiliate; or</w:t>
      </w:r>
    </w:p>
    <w:p>
      <w:pPr>
        <w:spacing w:after="0" w:line="171" w:lineRule="exact"/>
        <w:rPr>
          <w:rFonts w:ascii="Arial" w:cs="Arial" w:eastAsia="Arial" w:hAnsi="Arial"/>
          <w:sz w:val="17"/>
          <w:szCs w:val="17"/>
          <w:color w:val="auto"/>
        </w:rPr>
      </w:pPr>
    </w:p>
    <w:p>
      <w:pPr>
        <w:ind w:left="660" w:right="20" w:firstLine="645"/>
        <w:spacing w:after="0" w:line="277" w:lineRule="auto"/>
        <w:tabs>
          <w:tab w:leader="none" w:pos="159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Participant has violated the terms of any employment, noncompetition, nonsolicitation or proprietary information agreement to which he is a party; or</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6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Participant’s employment or involvement with the Company, a Subsidiary or an Affiliate was terminated for “cause,” as defined in any employment agreement with the Participant, if applicable, or if there is no such agreement, as determined by the Committee, which may determine that “cause” includes among other matters the willful failure or refusal of the Participant to perform and carry out his or her assigned duties and responsibilities diligently and in a manner satisfactory to the Committee;</w:t>
      </w:r>
    </w:p>
    <w:p>
      <w:pPr>
        <w:spacing w:after="0" w:line="187"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 xml:space="preserve">then the Participant’s right to exercise an Option shall terminate as of the date of such act (in the case of (a) or (b)) or such termination (in the case of (c)), the Participant shall forfeit all unexercised Options and shall be required to sell to the Company or, in the case the Company is not allowed to repurchase its own shares, to a third party approved by the Company, all or any part of the Shares acquired by the Participant prior to such event, at a price equal to the lesser of their Fair Market Value or the amount paid to the Company upon such transfer or exercise. If a Participant whose behavior the Company asserts falls within the provisions of (a), (b) or (c) above has exercised or attempts to exercise an Option prior to consideration of the application of this Section 6 or prior to a decision of the Committee, the Company shall not be required to recognize such exercise until the Committee has made its decision and, in the event any exercise shall have taken place, it shall be of no force and effect (and shall be void </w:t>
      </w:r>
      <w:r>
        <w:rPr>
          <w:rFonts w:ascii="Arial" w:cs="Arial" w:eastAsia="Arial" w:hAnsi="Arial"/>
          <w:sz w:val="16"/>
          <w:szCs w:val="16"/>
          <w:u w:val="single" w:color="auto"/>
          <w:color w:val="auto"/>
        </w:rPr>
        <w:t>ab initio</w:t>
      </w:r>
      <w:r>
        <w:rPr>
          <w:rFonts w:ascii="Arial" w:cs="Arial" w:eastAsia="Arial" w:hAnsi="Arial"/>
          <w:sz w:val="16"/>
          <w:szCs w:val="16"/>
          <w:color w:val="auto"/>
        </w:rPr>
        <w:t>) if the Committee makes an adverse determination, provided, however, that if the Committee finds in favor of the Participant then the Participant will be deemed to have exercised the Option retroactively as of the date he or she originally gave notice of his or her attempt to exercise or actual exercise, as the case may be. The decision of the Committee as to the cause of a Participant’s discharge and the damage done to the Company shall be final, binding and conclusive. No decision of the Committee, however, shall affect in any manner the finality of the discharge of such Participant by the Company. For purposes of this Section 6, reference to the Company shall include any Subsidiary or Affiliate.</w:t>
      </w:r>
    </w:p>
    <w:p>
      <w:pPr>
        <w:spacing w:after="0" w:line="165" w:lineRule="exact"/>
        <w:rPr>
          <w:sz w:val="20"/>
          <w:szCs w:val="20"/>
          <w:color w:val="auto"/>
        </w:rPr>
      </w:pPr>
    </w:p>
    <w:p>
      <w:pPr>
        <w:ind w:left="640" w:hanging="632"/>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256" w:lineRule="exact"/>
        <w:rPr>
          <w:rFonts w:ascii="Arial" w:cs="Arial" w:eastAsia="Arial" w:hAnsi="Arial"/>
          <w:sz w:val="18"/>
          <w:szCs w:val="18"/>
          <w:b w:val="1"/>
          <w:bCs w:val="1"/>
          <w:color w:val="auto"/>
        </w:rPr>
      </w:pPr>
    </w:p>
    <w:p>
      <w:pPr>
        <w:jc w:val="both"/>
        <w:ind w:lef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To the extent required by law, the Company may withhold or cause to be withheld income and other taxes with respect to any income recognized by a Participant by reason of the exercise of an Option, and as a condition to the receipt of any Option the Participant shall agree that if the amount payable to him by the Company and any Subsidiary in the ordinary course is insufficient to pay such taxes, then he shall upon the request of the Company pay to the Company an amount sufficient to satisfy its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b w:val="1"/>
          <w:bCs w:val="1"/>
          <w:u w:val="single" w:color="auto"/>
          <w:color w:val="auto"/>
        </w:rPr>
        <w:t>Exhibit 12.1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Dr. Yaron Daniely, certify that:</w:t>
      </w:r>
    </w:p>
    <w:p>
      <w:pPr>
        <w:spacing w:after="0" w:line="225" w:lineRule="exact"/>
        <w:rPr>
          <w:sz w:val="20"/>
          <w:szCs w:val="20"/>
          <w:color w:val="auto"/>
        </w:rPr>
      </w:pPr>
    </w:p>
    <w:p>
      <w:pPr>
        <w:ind w:left="180" w:hanging="172"/>
        <w:spacing w:after="0"/>
        <w:tabs>
          <w:tab w:leader="none" w:pos="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Alcobra Ltd.;</w:t>
      </w:r>
    </w:p>
    <w:p>
      <w:pPr>
        <w:spacing w:after="0" w:line="225" w:lineRule="exact"/>
        <w:rPr>
          <w:rFonts w:ascii="Arial" w:cs="Arial" w:eastAsia="Arial" w:hAnsi="Arial"/>
          <w:sz w:val="18"/>
          <w:szCs w:val="18"/>
          <w:color w:val="auto"/>
        </w:rPr>
      </w:pPr>
    </w:p>
    <w:p>
      <w:pPr>
        <w:ind w:firstLine="8"/>
        <w:spacing w:after="0" w:line="342" w:lineRule="auto"/>
        <w:tabs>
          <w:tab w:leader="none" w:pos="18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1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firstLine="6"/>
        <w:spacing w:after="0" w:line="277" w:lineRule="auto"/>
        <w:tabs>
          <w:tab w:leader="none" w:pos="57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380" w:firstLine="6"/>
        <w:spacing w:after="0" w:line="308" w:lineRule="auto"/>
        <w:tabs>
          <w:tab w:leader="none" w:pos="583"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rFonts w:ascii="Arial" w:cs="Arial" w:eastAsia="Arial" w:hAnsi="Arial"/>
          <w:sz w:val="17"/>
          <w:szCs w:val="17"/>
          <w:color w:val="auto"/>
        </w:rPr>
      </w:pPr>
    </w:p>
    <w:p>
      <w:pPr>
        <w:ind w:firstLine="8"/>
        <w:spacing w:after="0" w:line="277" w:lineRule="auto"/>
        <w:tabs>
          <w:tab w:leader="none" w:pos="20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70" w:lineRule="exact"/>
        <w:rPr>
          <w:rFonts w:ascii="Arial" w:cs="Arial" w:eastAsia="Arial" w:hAnsi="Arial"/>
          <w:sz w:val="18"/>
          <w:szCs w:val="18"/>
          <w:color w:val="auto"/>
        </w:rPr>
      </w:pPr>
    </w:p>
    <w:p>
      <w:pPr>
        <w:ind w:left="380" w:firstLine="6"/>
        <w:spacing w:after="0" w:line="277" w:lineRule="auto"/>
        <w:tabs>
          <w:tab w:leader="none" w:pos="56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380" w:firstLine="6"/>
        <w:spacing w:after="0" w:line="277" w:lineRule="auto"/>
        <w:tabs>
          <w:tab w:leader="none" w:pos="57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2016</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Dr. Yaron Daniely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14490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b w:val="1"/>
          <w:bCs w:val="1"/>
          <w:u w:val="single" w:color="auto"/>
          <w:color w:val="auto"/>
        </w:rPr>
        <w:t>Exhibit 12.2</w:t>
      </w:r>
    </w:p>
    <w:p>
      <w:pPr>
        <w:spacing w:after="0" w:line="200" w:lineRule="exact"/>
        <w:rPr>
          <w:sz w:val="20"/>
          <w:szCs w:val="20"/>
          <w:color w:val="auto"/>
        </w:rPr>
      </w:pPr>
    </w:p>
    <w:p>
      <w:pPr>
        <w:spacing w:after="0" w:line="232"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Dr. Tomer Berkovitz, certify that:</w:t>
      </w:r>
    </w:p>
    <w:p>
      <w:pPr>
        <w:spacing w:after="0" w:line="225" w:lineRule="exact"/>
        <w:rPr>
          <w:sz w:val="20"/>
          <w:szCs w:val="20"/>
          <w:color w:val="auto"/>
        </w:rPr>
      </w:pPr>
    </w:p>
    <w:p>
      <w:pPr>
        <w:ind w:left="180" w:hanging="172"/>
        <w:spacing w:after="0"/>
        <w:tabs>
          <w:tab w:leader="none" w:pos="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Alcobra Ltd.;</w:t>
      </w:r>
    </w:p>
    <w:p>
      <w:pPr>
        <w:spacing w:after="0" w:line="225" w:lineRule="exact"/>
        <w:rPr>
          <w:rFonts w:ascii="Arial" w:cs="Arial" w:eastAsia="Arial" w:hAnsi="Arial"/>
          <w:sz w:val="18"/>
          <w:szCs w:val="18"/>
          <w:color w:val="auto"/>
        </w:rPr>
      </w:pPr>
    </w:p>
    <w:p>
      <w:pPr>
        <w:ind w:firstLine="8"/>
        <w:spacing w:after="0" w:line="342" w:lineRule="auto"/>
        <w:tabs>
          <w:tab w:leader="none" w:pos="18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18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1"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firstLine="6"/>
        <w:spacing w:after="0" w:line="277" w:lineRule="auto"/>
        <w:tabs>
          <w:tab w:leader="none" w:pos="57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380" w:firstLine="6"/>
        <w:spacing w:after="0" w:line="308" w:lineRule="auto"/>
        <w:tabs>
          <w:tab w:leader="none" w:pos="583" w:val="left"/>
        </w:tabs>
        <w:numPr>
          <w:ilvl w:val="1"/>
          <w:numId w:val="111"/>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rFonts w:ascii="Arial" w:cs="Arial" w:eastAsia="Arial" w:hAnsi="Arial"/>
          <w:sz w:val="17"/>
          <w:szCs w:val="17"/>
          <w:color w:val="auto"/>
        </w:rPr>
      </w:pPr>
    </w:p>
    <w:p>
      <w:pPr>
        <w:ind w:firstLine="8"/>
        <w:spacing w:after="0" w:line="277" w:lineRule="auto"/>
        <w:tabs>
          <w:tab w:leader="none" w:pos="20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70" w:lineRule="exact"/>
        <w:rPr>
          <w:rFonts w:ascii="Arial" w:cs="Arial" w:eastAsia="Arial" w:hAnsi="Arial"/>
          <w:sz w:val="18"/>
          <w:szCs w:val="18"/>
          <w:color w:val="auto"/>
        </w:rPr>
      </w:pPr>
    </w:p>
    <w:p>
      <w:pPr>
        <w:ind w:left="380" w:firstLine="6"/>
        <w:spacing w:after="0" w:line="277" w:lineRule="auto"/>
        <w:tabs>
          <w:tab w:leader="none" w:pos="56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380" w:firstLine="6"/>
        <w:spacing w:after="0" w:line="277" w:lineRule="auto"/>
        <w:tabs>
          <w:tab w:leader="none" w:pos="57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2016</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Dr. Tomer Berkovitz</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-130810</wp:posOffset>
            </wp:positionV>
            <wp:extent cx="23837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Financial Officer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b w:val="1"/>
          <w:bCs w:val="1"/>
          <w:u w:val="single" w:color="auto"/>
          <w:color w:val="auto"/>
        </w:rPr>
        <w:t>Exhibit 13.1</w:t>
      </w:r>
    </w:p>
    <w:p>
      <w:pPr>
        <w:spacing w:after="0" w:line="21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connection with the filing of the Annual Report on Form 20-F for the period ended December 31, 2015 (the “Report”) by Alcobra Ltd. (the "Company"), the undersigned, as Chief Executive Officer of the Company, hereby certifies pursuant to 18 U.S.C. Section 1350, as adopted pursuant to Section 906 of the Sarbanes-Oxley Act of 2002, that, to my knowledge:</w:t>
      </w:r>
    </w:p>
    <w:p>
      <w:pPr>
        <w:spacing w:after="0" w:line="181" w:lineRule="exact"/>
        <w:rPr>
          <w:sz w:val="20"/>
          <w:szCs w:val="20"/>
          <w:color w:val="auto"/>
        </w:rPr>
      </w:pPr>
    </w:p>
    <w:p>
      <w:pPr>
        <w:ind w:left="1320" w:hanging="664"/>
        <w:spacing w:after="0"/>
        <w:tabs>
          <w:tab w:leader="none" w:pos="13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Yaron Daniely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111" w:right="7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auto"/>
        </w:rPr>
        <w:t>Exhibit 13.2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filing of the Annual Report on Form 20-F for the period ended December 31, 2015 (the “Report”) by Alcobra Ltd. (the "Company"), the undersigned, as Chief Financial Officer of the Company, hereby certifies pursuant to 18 U.S.C. Section 1350, as adopted pursuant to Section 906 of the Sarbanes-Oxley Act of 2002, that, to my knowledge:</w:t>
      </w:r>
    </w:p>
    <w:p>
      <w:pPr>
        <w:spacing w:after="0" w:line="181" w:lineRule="exact"/>
        <w:rPr>
          <w:sz w:val="20"/>
          <w:szCs w:val="20"/>
          <w:color w:val="auto"/>
        </w:rPr>
      </w:pPr>
    </w:p>
    <w:p>
      <w:pPr>
        <w:ind w:left="1320" w:hanging="664"/>
        <w:spacing w:after="0"/>
        <w:tabs>
          <w:tab w:leader="none" w:pos="1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Dr. Tomer Berkovitz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Tomer Berkovitz</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Chief Operating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u w:val="single" w:color="auto"/>
          <w:color w:val="auto"/>
        </w:rPr>
        <w:t>Exhibit 15.1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F-3 (Registration No. 333-197411) and Registration Statements on Form S-8 (Registration No. 333-194875 and Registration No. 333-202394) of Alcobra Ltd. of our report dated March 4, 2016 with respect to the consolidated financial statements of Alcobra Ltd. and its subsidiary for the year ended December 31, 2015 included in this Annual Report on Form 20-F for the year ended December 31,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Kost, Forer, Gabbay &amp; Kasierer</w:t>
            </w:r>
          </w:p>
        </w:tc>
        <w:tc>
          <w:tcPr>
            <w:tcW w:w="2500" w:type="dxa"/>
            <w:vAlign w:val="bottom"/>
          </w:tcPr>
          <w:p>
            <w:pPr>
              <w:spacing w:after="0"/>
              <w:rPr>
                <w:sz w:val="17"/>
                <w:szCs w:val="17"/>
                <w:color w:val="auto"/>
              </w:rPr>
            </w:pP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Tel Aviv, Israel</w:t>
            </w:r>
          </w:p>
        </w:tc>
        <w:tc>
          <w:tcPr>
            <w:tcW w:w="780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KOST, FORER, GABBAY &amp; KASIERER</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March 4, 2016</w:t>
            </w:r>
          </w:p>
        </w:tc>
        <w:tc>
          <w:tcPr>
            <w:tcW w:w="2780" w:type="dxa"/>
            <w:vAlign w:val="bottom"/>
          </w:tcPr>
          <w:p>
            <w:pPr>
              <w:spacing w:after="0"/>
              <w:rPr>
                <w:sz w:val="20"/>
                <w:szCs w:val="20"/>
                <w:color w:val="auto"/>
              </w:rPr>
            </w:pPr>
          </w:p>
        </w:tc>
        <w:tc>
          <w:tcPr>
            <w:tcW w:w="5020" w:type="dxa"/>
            <w:vAlign w:val="bottom"/>
            <w:gridSpan w:val="2"/>
          </w:tcPr>
          <w:p>
            <w:pPr>
              <w:jc w:val="center"/>
              <w:ind w:right="2460"/>
              <w:spacing w:after="0"/>
              <w:rPr>
                <w:sz w:val="20"/>
                <w:szCs w:val="20"/>
                <w:color w:val="auto"/>
              </w:rPr>
            </w:pPr>
            <w:r>
              <w:rPr>
                <w:rFonts w:ascii="Arial" w:cs="Arial" w:eastAsia="Arial" w:hAnsi="Arial"/>
                <w:sz w:val="18"/>
                <w:szCs w:val="18"/>
                <w:color w:val="auto"/>
                <w:w w:val="95"/>
              </w:rPr>
              <w:t>A Member of EY Global</w:t>
            </w:r>
          </w:p>
        </w:tc>
      </w:tr>
      <w:tr>
        <w:trPr>
          <w:trHeight w:val="675"/>
        </w:trPr>
        <w:tc>
          <w:tcPr>
            <w:tcW w:w="36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emdash "/>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lvl w:ilvl="1">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emdash "/>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1)"/>
      <w:numFmt w:val="lowerRoman"/>
      <w:start w:val="2"/>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1)"/>
      <w:numFmt w:val="decimal"/>
      <w:start w:val="1"/>
    </w:lvl>
  </w:abstractNum>
  <w:abstractNum w:abstractNumId="38">
    <w:nsid w:val="613EFDC5"/>
    <w:multiLevelType w:val="hybridMultilevel"/>
    <w:lvl w:ilvl="0">
      <w:lvlJc w:val="left"/>
      <w:lvlText w:val="(%1)"/>
      <w:numFmt w:val="decimal"/>
      <w:start w:val="1"/>
    </w:lvl>
  </w:abstractNum>
  <w:abstractNum w:abstractNumId="39">
    <w:nsid w:val="BF72B14"/>
    <w:multiLevelType w:val="hybridMultilevel"/>
    <w:lvl w:ilvl="0">
      <w:lvlJc w:val="left"/>
      <w:lvlText w:val="(%1)"/>
      <w:numFmt w:val="lowerRoman"/>
      <w:start w:val="2"/>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1)"/>
      <w:numFmt w:val="decimal"/>
      <w:start w:val="1"/>
    </w:lvl>
  </w:abstractNum>
  <w:abstractNum w:abstractNumId="45">
    <w:nsid w:val="3B0FD379"/>
    <w:multiLevelType w:val="hybridMultilevel"/>
    <w:lvl w:ilvl="0">
      <w:lvlJc w:val="left"/>
      <w:lvlText w:val="(%1)"/>
      <w:numFmt w:val="decimal"/>
      <w:start w:val="6"/>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1)"/>
      <w:numFmt w:val="decimal"/>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1)"/>
      <w:numFmt w:val="decimal"/>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1"/>
      <w:numFmt w:val="decimal"/>
      <w:start w:val="101"/>
    </w:lvl>
    <w:lvl w:ilvl="1">
      <w:lvlJc w:val="left"/>
      <w:lvlText w:val="∞"/>
      <w:numFmt w:val="bullet"/>
      <w:start w:val="1"/>
    </w:lvl>
  </w:abstractNum>
  <w:abstractNum w:abstractNumId="57">
    <w:nsid w:val="6F6DD9AC"/>
    <w:multiLevelType w:val="hybridMultilevel"/>
    <w:lvl w:ilvl="0">
      <w:lvlJc w:val="left"/>
      <w:lvlText w:val="%1."/>
      <w:numFmt w:val="lowerLetter"/>
      <w:start w:val="1"/>
    </w:lvl>
  </w:abstractNum>
  <w:abstractNum w:abstractNumId="58">
    <w:nsid w:val="94211F2"/>
    <w:multiLevelType w:val="hybridMultilevel"/>
    <w:lvl w:ilvl="0">
      <w:lvlJc w:val="left"/>
      <w:lvlText w:val="%1."/>
      <w:numFmt w:val="lowerLetter"/>
      <w:start w:val="1"/>
    </w:lvl>
  </w:abstractNum>
  <w:abstractNum w:abstractNumId="59">
    <w:nsid w:val="885E1B"/>
    <w:multiLevelType w:val="hybridMultilevel"/>
    <w:lvl w:ilvl="0">
      <w:lvlJc w:val="left"/>
      <w:lvlText w:val="%1."/>
      <w:numFmt w:val="lowerLetter"/>
      <w:start w:val="3"/>
    </w:lvl>
  </w:abstractNum>
  <w:abstractNum w:abstractNumId="60">
    <w:nsid w:val="76272110"/>
    <w:multiLevelType w:val="hybridMultilevel"/>
    <w:lvl w:ilvl="0">
      <w:lvlJc w:val="left"/>
      <w:lvlText w:val="%1."/>
      <w:numFmt w:val="lowerLetter"/>
      <w:start w:val="7"/>
    </w:lvl>
  </w:abstractNum>
  <w:abstractNum w:abstractNumId="61">
    <w:nsid w:val="4C04A8AF"/>
    <w:multiLevelType w:val="hybridMultilevel"/>
    <w:lvl w:ilvl="0">
      <w:lvlJc w:val="left"/>
      <w:lvlText w:val="%1."/>
      <w:numFmt w:val="lowerLetter"/>
      <w:start w:val="10"/>
    </w:lvl>
  </w:abstractNum>
  <w:abstractNum w:abstractNumId="62">
    <w:nsid w:val="1716703B"/>
    <w:multiLevelType w:val="hybridMultilevel"/>
    <w:lvl w:ilvl="0">
      <w:lvlJc w:val="left"/>
      <w:lvlText w:val="%1."/>
      <w:numFmt w:val="lowerLetter"/>
      <w:start w:val="13"/>
    </w:lvl>
  </w:abstractNum>
  <w:abstractNum w:abstractNumId="63">
    <w:nsid w:val="14E17E33"/>
    <w:multiLevelType w:val="hybridMultilevel"/>
    <w:lvl w:ilvl="0">
      <w:lvlJc w:val="left"/>
      <w:lvlText w:val="%1."/>
      <w:numFmt w:val="lowerLetter"/>
      <w:start w:val="16"/>
    </w:lvl>
  </w:abstractNum>
  <w:abstractNum w:abstractNumId="64">
    <w:nsid w:val="3222E7CD"/>
    <w:multiLevelType w:val="hybridMultilevel"/>
    <w:lvl w:ilvl="0">
      <w:lvlJc w:val="left"/>
      <w:lvlText w:val="%1."/>
      <w:numFmt w:val="lowerLetter"/>
      <w:start w:val="1"/>
    </w:lvl>
    <w:lvl w:ilvl="1">
      <w:lvlJc w:val="left"/>
      <w:lvlText w:val="%2."/>
      <w:numFmt w:val="decimal"/>
      <w:start w:val="1"/>
    </w:lvl>
  </w:abstractNum>
  <w:abstractNum w:abstractNumId="65">
    <w:nsid w:val="74DE0EE3"/>
    <w:multiLevelType w:val="hybridMultilevel"/>
    <w:lvl w:ilvl="0">
      <w:lvlJc w:val="left"/>
      <w:lvlText w:val="%1."/>
      <w:numFmt w:val="lowerLetter"/>
      <w:start w:val="3"/>
    </w:lvl>
  </w:abstractNum>
  <w:abstractNum w:abstractNumId="66">
    <w:nsid w:val="68EBC550"/>
    <w:multiLevelType w:val="hybridMultilevel"/>
    <w:lvl w:ilvl="0">
      <w:lvlJc w:val="left"/>
      <w:lvlText w:val="%1."/>
      <w:numFmt w:val="lowerLetter"/>
      <w:start w:val="4"/>
    </w:lvl>
  </w:abstractNum>
  <w:abstractNum w:abstractNumId="67">
    <w:nsid w:val="2DF6D648"/>
    <w:multiLevelType w:val="hybridMultilevel"/>
    <w:lvl w:ilvl="0">
      <w:lvlJc w:val="left"/>
      <w:lvlText w:val="%1."/>
      <w:numFmt w:val="lowerLetter"/>
      <w:start w:val="7"/>
    </w:lvl>
  </w:abstractNum>
  <w:abstractNum w:abstractNumId="68">
    <w:nsid w:val="46B7D447"/>
    <w:multiLevelType w:val="hybridMultilevel"/>
    <w:lvl w:ilvl="0">
      <w:lvlJc w:val="left"/>
      <w:lvlText w:val="%1."/>
      <w:numFmt w:val="lowerLetter"/>
      <w:start w:val="1"/>
    </w:lvl>
  </w:abstractNum>
  <w:abstractNum w:abstractNumId="69">
    <w:nsid w:val="4A2AC315"/>
    <w:multiLevelType w:val="hybridMultilevel"/>
    <w:lvl w:ilvl="0">
      <w:lvlJc w:val="left"/>
      <w:lvlText w:val="%1."/>
      <w:numFmt w:val="lowerLetter"/>
      <w:start w:val="3"/>
    </w:lvl>
  </w:abstractNum>
  <w:abstractNum w:abstractNumId="70">
    <w:nsid w:val="39EE015C"/>
    <w:multiLevelType w:val="hybridMultilevel"/>
    <w:lvl w:ilvl="0">
      <w:lvlJc w:val="left"/>
      <w:lvlText w:val="%1."/>
      <w:numFmt w:val="lowerLetter"/>
      <w:start w:val="1"/>
    </w:lvl>
    <w:lvl w:ilvl="1">
      <w:lvlJc w:val="left"/>
      <w:lvlText w:val="%2."/>
      <w:numFmt w:val="decimal"/>
      <w:start w:val="1"/>
    </w:lvl>
  </w:abstractNum>
  <w:abstractNum w:abstractNumId="71">
    <w:nsid w:val="57FC4FBB"/>
    <w:multiLevelType w:val="hybridMultilevel"/>
    <w:lvl w:ilvl="0">
      <w:lvlJc w:val="left"/>
      <w:lvlText w:val="%1"/>
      <w:numFmt w:val="lowerLetter"/>
      <w:start w:val="1"/>
    </w:lvl>
    <w:lvl w:ilvl="1">
      <w:lvlJc w:val="left"/>
      <w:lvlText w:val="%2."/>
      <w:numFmt w:val="decimal"/>
      <w:start w:val="2"/>
    </w:lvl>
  </w:abstractNum>
  <w:abstractNum w:abstractNumId="72">
    <w:nsid w:val="CC1016F"/>
    <w:multiLevelType w:val="hybridMultilevel"/>
    <w:lvl w:ilvl="0">
      <w:lvlJc w:val="left"/>
      <w:lvlText w:val="%1."/>
      <w:numFmt w:val="lowerLetter"/>
      <w:start w:val="3"/>
    </w:lvl>
    <w:lvl w:ilvl="1">
      <w:lvlJc w:val="left"/>
      <w:lvlText w:val="%2"/>
      <w:numFmt w:val="decimal"/>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1."/>
      <w:numFmt w:val="lowerLetter"/>
      <w:start w:val="4"/>
    </w:lvl>
  </w:abstractNum>
  <w:abstractNum w:abstractNumId="75">
    <w:nsid w:val="26F324BA"/>
    <w:multiLevelType w:val="hybridMultilevel"/>
    <w:lvl w:ilvl="0">
      <w:lvlJc w:val="left"/>
      <w:lvlText w:val="%1."/>
      <w:numFmt w:val="lowerLetter"/>
      <w:start w:val="5"/>
    </w:lvl>
  </w:abstractNum>
  <w:abstractNum w:abstractNumId="76">
    <w:nsid w:val="7F01579B"/>
    <w:multiLevelType w:val="hybridMultilevel"/>
    <w:lvl w:ilvl="0">
      <w:lvlJc w:val="left"/>
      <w:lvlText w:val="%1."/>
      <w:numFmt w:val="lowerLetter"/>
      <w:start w:val="6"/>
    </w:lvl>
  </w:abstractNum>
  <w:abstractNum w:abstractNumId="77">
    <w:nsid w:val="49DA307D"/>
    <w:multiLevelType w:val="hybridMultilevel"/>
    <w:lvl w:ilvl="0">
      <w:lvlJc w:val="left"/>
      <w:lvlText w:val="%1."/>
      <w:numFmt w:val="decimal"/>
      <w:start w:val="1"/>
    </w:lvl>
  </w:abstractNum>
  <w:abstractNum w:abstractNumId="78">
    <w:nsid w:val="7055A5F5"/>
    <w:multiLevelType w:val="hybridMultilevel"/>
    <w:lvl w:ilvl="0">
      <w:lvlJc w:val="left"/>
      <w:lvlText w:val="%1."/>
      <w:numFmt w:val="decimal"/>
      <w:start w:val="3"/>
    </w:lvl>
  </w:abstractNum>
  <w:abstractNum w:abstractNumId="79">
    <w:nsid w:val="5FB8370B"/>
    <w:multiLevelType w:val="hybridMultilevel"/>
    <w:lvl w:ilvl="0">
      <w:lvlJc w:val="left"/>
      <w:lvlText w:val="%1."/>
      <w:numFmt w:val="decimal"/>
      <w:start w:val="4"/>
    </w:lvl>
  </w:abstractNum>
  <w:abstractNum w:abstractNumId="80">
    <w:nsid w:val="50801EE1"/>
    <w:multiLevelType w:val="hybridMultilevel"/>
    <w:lvl w:ilvl="0">
      <w:lvlJc w:val="left"/>
      <w:lvlText w:val="%1."/>
      <w:numFmt w:val="decimal"/>
      <w:start w:val="5"/>
    </w:lvl>
  </w:abstractNum>
  <w:abstractNum w:abstractNumId="81">
    <w:nsid w:val="488AC1A"/>
    <w:multiLevelType w:val="hybridMultilevel"/>
    <w:lvl w:ilvl="0">
      <w:lvlJc w:val="left"/>
      <w:lvlText w:val="%1."/>
      <w:numFmt w:val="decimal"/>
      <w:start w:val="6"/>
    </w:lvl>
  </w:abstractNum>
  <w:abstractNum w:abstractNumId="82">
    <w:nsid w:val="5FB8011C"/>
    <w:multiLevelType w:val="hybridMultilevel"/>
    <w:lvl w:ilvl="0">
      <w:lvlJc w:val="left"/>
      <w:lvlText w:val="%1."/>
      <w:numFmt w:val="decimal"/>
      <w:start w:val="7"/>
    </w:lvl>
  </w:abstractNum>
  <w:abstractNum w:abstractNumId="83">
    <w:nsid w:val="6AA78F7F"/>
    <w:multiLevelType w:val="hybridMultilevel"/>
    <w:lvl w:ilvl="0">
      <w:lvlJc w:val="left"/>
      <w:lvlText w:val="%1."/>
      <w:numFmt w:val="decimal"/>
      <w:start w:val="8"/>
    </w:lvl>
  </w:abstractNum>
  <w:abstractNum w:abstractNumId="84">
    <w:nsid w:val="7672BD23"/>
    <w:multiLevelType w:val="hybridMultilevel"/>
    <w:lvl w:ilvl="0">
      <w:lvlJc w:val="left"/>
      <w:lvlText w:val="%1."/>
      <w:numFmt w:val="decimal"/>
      <w:start w:val="9"/>
    </w:lvl>
  </w:abstractNum>
  <w:abstractNum w:abstractNumId="85">
    <w:nsid w:val="6FC75AF8"/>
    <w:multiLevelType w:val="hybridMultilevel"/>
    <w:lvl w:ilvl="0">
      <w:lvlJc w:val="left"/>
      <w:lvlText w:val="%1."/>
      <w:numFmt w:val="decimal"/>
      <w:start w:val="10"/>
    </w:lvl>
  </w:abstractNum>
  <w:abstractNum w:abstractNumId="86">
    <w:nsid w:val="6A5F7029"/>
    <w:multiLevelType w:val="hybridMultilevel"/>
    <w:lvl w:ilvl="0">
      <w:lvlJc w:val="left"/>
      <w:lvlText w:val="%1."/>
      <w:numFmt w:val="decimal"/>
      <w:start w:val="11"/>
    </w:lvl>
  </w:abstractNum>
  <w:abstractNum w:abstractNumId="87">
    <w:nsid w:val="7D5E18F8"/>
    <w:multiLevelType w:val="hybridMultilevel"/>
    <w:lvl w:ilvl="0">
      <w:lvlJc w:val="left"/>
      <w:lvlText w:val="%1."/>
      <w:numFmt w:val="decimal"/>
      <w:start w:val="12"/>
    </w:lvl>
  </w:abstractNum>
  <w:abstractNum w:abstractNumId="88">
    <w:nsid w:val="5F3534A4"/>
    <w:multiLevelType w:val="hybridMultilevel"/>
    <w:lvl w:ilvl="0">
      <w:lvlJc w:val="left"/>
      <w:lvlText w:val="%1."/>
      <w:numFmt w:val="decimal"/>
      <w:start w:val="13"/>
    </w:lvl>
  </w:abstractNum>
  <w:abstractNum w:abstractNumId="89">
    <w:nsid w:val="73A1821B"/>
    <w:multiLevelType w:val="hybridMultilevel"/>
    <w:lvl w:ilvl="0">
      <w:lvlJc w:val="left"/>
      <w:lvlText w:val="%1."/>
      <w:numFmt w:val="decimal"/>
      <w:start w:val="14"/>
    </w:lvl>
  </w:abstractNum>
  <w:abstractNum w:abstractNumId="90">
    <w:nsid w:val="7DE67713"/>
    <w:multiLevelType w:val="hybridMultilevel"/>
    <w:lvl w:ilvl="0">
      <w:lvlJc w:val="left"/>
      <w:lvlText w:val="%1."/>
      <w:numFmt w:val="decimal"/>
      <w:start w:val="15"/>
    </w:lvl>
  </w:abstractNum>
  <w:abstractNum w:abstractNumId="91">
    <w:nsid w:val="555C55B5"/>
    <w:multiLevelType w:val="hybridMultilevel"/>
    <w:lvl w:ilvl="0">
      <w:lvlJc w:val="left"/>
      <w:lvlText w:val="%1."/>
      <w:numFmt w:val="decimal"/>
      <w:start w:val="17"/>
    </w:lvl>
  </w:abstractNum>
  <w:abstractNum w:abstractNumId="92">
    <w:nsid w:val="3FA62ACA"/>
    <w:multiLevelType w:val="hybridMultilevel"/>
    <w:lvl w:ilvl="0">
      <w:lvlJc w:val="left"/>
      <w:lvlText w:val="%1."/>
      <w:numFmt w:val="decimal"/>
      <w:start w:val="18"/>
    </w:lvl>
  </w:abstractNum>
  <w:abstractNum w:abstractNumId="93">
    <w:nsid w:val="14FCE74E"/>
    <w:multiLevelType w:val="hybridMultilevel"/>
    <w:lvl w:ilvl="0">
      <w:lvlJc w:val="left"/>
      <w:lvlText w:val="%1."/>
      <w:numFmt w:val="decimal"/>
      <w:start w:val="19"/>
    </w:lvl>
  </w:abstractNum>
  <w:abstractNum w:abstractNumId="94">
    <w:nsid w:val="6A3DD3E8"/>
    <w:multiLevelType w:val="hybridMultilevel"/>
    <w:lvl w:ilvl="0">
      <w:lvlJc w:val="left"/>
      <w:lvlText w:val="%1."/>
      <w:numFmt w:val="decimal"/>
      <w:start w:val="20"/>
    </w:lvl>
  </w:abstractNum>
  <w:abstractNum w:abstractNumId="95">
    <w:nsid w:val="71C91298"/>
    <w:multiLevelType w:val="hybridMultilevel"/>
    <w:lvl w:ilvl="0">
      <w:lvlJc w:val="left"/>
      <w:lvlText w:val="%1."/>
      <w:numFmt w:val="decimal"/>
      <w:start w:val="21"/>
    </w:lvl>
  </w:abstractNum>
  <w:abstractNum w:abstractNumId="96">
    <w:nsid w:val="9DAF632"/>
    <w:multiLevelType w:val="hybridMultilevel"/>
    <w:lvl w:ilvl="0">
      <w:lvlJc w:val="left"/>
      <w:lvlText w:val="%1."/>
      <w:numFmt w:val="decimal"/>
      <w:start w:val="22"/>
    </w:lvl>
  </w:abstractNum>
  <w:abstractNum w:abstractNumId="97">
    <w:nsid w:val="53299938"/>
    <w:multiLevelType w:val="hybridMultilevel"/>
    <w:lvl w:ilvl="0">
      <w:lvlJc w:val="left"/>
      <w:lvlText w:val="%1."/>
      <w:numFmt w:val="decimal"/>
      <w:start w:val="1"/>
    </w:lvl>
  </w:abstractNum>
  <w:abstractNum w:abstractNumId="98">
    <w:nsid w:val="1FBFE8E0"/>
    <w:multiLevelType w:val="hybridMultilevel"/>
    <w:lvl w:ilvl="0">
      <w:lvlJc w:val="left"/>
      <w:lvlText w:val="%1."/>
      <w:numFmt w:val="decimal"/>
      <w:start w:val="2"/>
    </w:lvl>
  </w:abstractNum>
  <w:abstractNum w:abstractNumId="99">
    <w:nsid w:val="5092CA79"/>
    <w:multiLevelType w:val="hybridMultilevel"/>
    <w:lvl w:ilvl="0">
      <w:lvlJc w:val="left"/>
      <w:lvlText w:val="%1."/>
      <w:numFmt w:val="decimal"/>
      <w:start w:val="3"/>
    </w:lvl>
  </w:abstractNum>
  <w:abstractNum w:abstractNumId="100">
    <w:nsid w:val="1D545C4D"/>
    <w:multiLevelType w:val="hybridMultilevel"/>
    <w:lvl w:ilvl="0">
      <w:lvlJc w:val="left"/>
      <w:lvlText w:val="%1."/>
      <w:numFmt w:val="decimal"/>
      <w:start w:val="6"/>
    </w:lvl>
  </w:abstractNum>
  <w:abstractNum w:abstractNumId="101">
    <w:nsid w:val="59ADEA3D"/>
    <w:multiLevelType w:val="hybridMultilevel"/>
    <w:lvl w:ilvl="0">
      <w:lvlJc w:val="left"/>
      <w:lvlText w:val="%1."/>
      <w:numFmt w:val="decimal"/>
      <w:start w:val="7"/>
    </w:lvl>
  </w:abstractNum>
  <w:abstractNum w:abstractNumId="102">
    <w:nsid w:val="288F1A34"/>
    <w:multiLevelType w:val="hybridMultilevel"/>
    <w:lvl w:ilvl="0">
      <w:lvlJc w:val="left"/>
      <w:lvlText w:val="%1."/>
      <w:numFmt w:val="decimal"/>
      <w:start w:val="9"/>
    </w:lvl>
  </w:abstractNum>
  <w:abstractNum w:abstractNumId="103">
    <w:nsid w:val="2A155DBC"/>
    <w:multiLevelType w:val="hybridMultilevel"/>
    <w:lvl w:ilvl="0">
      <w:lvlJc w:val="left"/>
      <w:lvlText w:val="%1."/>
      <w:numFmt w:val="decimal"/>
      <w:start w:val="10"/>
    </w:lvl>
  </w:abstractNum>
  <w:abstractNum w:abstractNumId="104">
    <w:nsid w:val="1D9F6E5F"/>
    <w:multiLevelType w:val="hybridMultilevel"/>
    <w:lvl w:ilvl="0">
      <w:lvlJc w:val="left"/>
      <w:lvlText w:val="(%1)"/>
      <w:numFmt w:val="lowerLetter"/>
      <w:start w:val="1"/>
    </w:lvl>
  </w:abstractNum>
  <w:abstractNum w:abstractNumId="105">
    <w:nsid w:val="97E1B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06">
    <w:nsid w:val="51088277"/>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107">
    <w:nsid w:val="1CA0C5FA"/>
    <w:multiLevelType w:val="hybridMultilevel"/>
    <w:lvl w:ilvl="0">
      <w:lvlJc w:val="left"/>
      <w:lvlText w:val="%1."/>
      <w:numFmt w:val="decimal"/>
      <w:start w:val="15"/>
    </w:lvl>
    <w:lvl w:ilvl="1">
      <w:lvlJc w:val="left"/>
      <w:lvlText w:val="(%2)"/>
      <w:numFmt w:val="lowerLetter"/>
      <w:start w:val="1"/>
    </w:lvl>
  </w:abstractNum>
  <w:abstractNum w:abstractNumId="108">
    <w:nsid w:val="53584BCB"/>
    <w:multiLevelType w:val="hybridMultilevel"/>
    <w:lvl w:ilvl="0">
      <w:lvlJc w:val="left"/>
      <w:lvlText w:val="%1."/>
      <w:numFmt w:val="decimal"/>
      <w:start w:val="16"/>
    </w:lvl>
  </w:abstractNum>
  <w:abstractNum w:abstractNumId="109">
    <w:nsid w:val="415E286C"/>
    <w:multiLevelType w:val="hybridMultilevel"/>
    <w:lvl w:ilvl="0">
      <w:lvlJc w:val="left"/>
      <w:lvlText w:val="%1."/>
      <w:numFmt w:val="decimal"/>
      <w:start w:val="1"/>
    </w:lvl>
    <w:lvl w:ilvl="1">
      <w:lvlJc w:val="left"/>
      <w:lvlText w:val="%2)"/>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2019-12-08T23:05:47Z</dcterms:created>
  <dcterms:modified xsi:type="dcterms:W3CDTF">2019-12-08T23:05:47Z</dcterms:modified>
</cp:coreProperties>
</file>