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Trading</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7"/>
              </w:rPr>
              <w:t>Title of each class</w:t>
            </w:r>
          </w:p>
        </w:tc>
        <w:tc>
          <w:tcPr>
            <w:tcW w:w="24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Symbol(s)</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9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14, 2023, the Loan and Security Agreement, dated as of October 12, 2018 (as amended and supplemented, the “Western Alliance Agreement”) by and between Arcturus Therapeutics, Inc. (“Arcturus Therapeutics”), a wholly-owned subsidiary of Arcturus Therapeutics Holdings, Inc. (the “Company” and together with Arcturus Therapeutics, “Arcturus”), and Western Alliance Bank, an Arizona corporation (“Western Alliance”), was terminated (the “Termination”) upon the receipt by Western Alliance of a payoff amount of approximately $7.36 million from Arcturus. The Western Alliance Agreement provided for a collateralized term loan in the aggregate principal amount of up to $15 million, with interest at a floating rate ranging from 1.25% to 2.75% above the prime rate and a maturity date of October 30, 2023. The payoff amount was made by Arcturus to Western Alliance from available cash on hand, pursuant to a payoff letter, and included payment of (i) approximately $7.02 million in principal and interest, (ii) $300,000 fee payable upon prepayment as a result of prior FDA approval of an IND, (iii) $35,000 in prepayment charges and (iv) de minimis amounts for various operational fees. Arcturus has been released from all liens under the Western Alliance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02"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2023</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2023-03-17T16:17:01Z</dcterms:created>
  <dcterms:modified xsi:type="dcterms:W3CDTF">2023-03-17T16:17:01Z</dcterms:modified>
</cp:coreProperties>
</file>