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9" w:lineRule="exact"/>
        <w:rPr>
          <w:sz w:val="24"/>
          <w:szCs w:val="24"/>
          <w:color w:val="auto"/>
        </w:rPr>
      </w:pPr>
    </w:p>
    <w:p>
      <w:pPr>
        <w:ind w:left="3980" w:right="1740" w:hanging="3972"/>
        <w:spacing w:after="0" w:line="380" w:lineRule="auto"/>
        <w:tabs>
          <w:tab w:leader="none" w:pos="5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spacing w:after="0" w:line="23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30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5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ARCTURUS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2" w:lineRule="exact"/>
        <w:rPr>
          <w:sz w:val="24"/>
          <w:szCs w:val="24"/>
          <w:color w:val="auto"/>
        </w:rPr>
      </w:pPr>
    </w:p>
    <w:tbl>
      <w:tblPr>
        <w:tblLayout w:type="fixed"/>
        <w:tblInd w:w="1820" w:type="dxa"/>
        <w:tblCellMar>
          <w:top w:w="0" w:type="dxa"/>
          <w:left w:w="0" w:type="dxa"/>
          <w:bottom w:w="0" w:type="dxa"/>
          <w:right w:w="0" w:type="dxa"/>
        </w:tblCellMar>
      </w:tblPr>
      <w:tr>
        <w:trPr>
          <w:trHeight w:val="149"/>
        </w:trPr>
        <w:tc>
          <w:tcPr>
            <w:tcW w:w="4180" w:type="dxa"/>
            <w:vAlign w:val="bottom"/>
          </w:tcPr>
          <w:p>
            <w:pPr>
              <w:jc w:val="center"/>
              <w:ind w:right="20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0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32-0595345</w:t>
            </w:r>
          </w:p>
        </w:tc>
      </w:tr>
      <w:tr>
        <w:trPr>
          <w:trHeight w:val="135"/>
        </w:trPr>
        <w:tc>
          <w:tcPr>
            <w:tcW w:w="4180" w:type="dxa"/>
            <w:vAlign w:val="bottom"/>
          </w:tcPr>
          <w:p>
            <w:pPr>
              <w:jc w:val="center"/>
              <w:ind w:right="20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60" w:type="dxa"/>
            <w:vAlign w:val="bottom"/>
          </w:tcPr>
          <w:p>
            <w:pPr>
              <w:jc w:val="center"/>
              <w:ind w:left="20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60" w:type="dxa"/>
            <w:vAlign w:val="bottom"/>
          </w:tcPr>
          <w:p>
            <w:pPr>
              <w:jc w:val="center"/>
              <w:ind w:left="20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9"/>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7"/>
              </w:rPr>
              <w:t>10628 Science Center Drive, Suite 250</w:t>
            </w:r>
          </w:p>
        </w:tc>
        <w:tc>
          <w:tcPr>
            <w:tcW w:w="3060" w:type="dxa"/>
            <w:vAlign w:val="bottom"/>
          </w:tcPr>
          <w:p>
            <w:pPr>
              <w:spacing w:after="0"/>
              <w:rPr>
                <w:sz w:val="20"/>
                <w:szCs w:val="20"/>
                <w:color w:val="auto"/>
              </w:rPr>
            </w:pPr>
          </w:p>
        </w:tc>
      </w:tr>
      <w:tr>
        <w:trPr>
          <w:trHeight w:val="135"/>
        </w:trPr>
        <w:tc>
          <w:tcPr>
            <w:tcW w:w="4180" w:type="dxa"/>
            <w:vAlign w:val="bottom"/>
          </w:tcPr>
          <w:p>
            <w:pPr>
              <w:jc w:val="center"/>
              <w:ind w:right="20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San Diego, California</w:t>
            </w:r>
          </w:p>
        </w:tc>
        <w:tc>
          <w:tcPr>
            <w:tcW w:w="306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3"/>
                <w:szCs w:val="13"/>
                <w:b w:val="1"/>
                <w:bCs w:val="1"/>
                <w:color w:val="auto"/>
              </w:rPr>
              <w:t>92121</w:t>
            </w:r>
          </w:p>
        </w:tc>
      </w:tr>
      <w:tr>
        <w:trPr>
          <w:trHeight w:val="166"/>
        </w:trPr>
        <w:tc>
          <w:tcPr>
            <w:tcW w:w="4180" w:type="dxa"/>
            <w:vAlign w:val="bottom"/>
          </w:tcPr>
          <w:p>
            <w:pPr>
              <w:jc w:val="center"/>
              <w:ind w:right="20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60" w:type="dxa"/>
            <w:vAlign w:val="bottom"/>
          </w:tcPr>
          <w:p>
            <w:pPr>
              <w:jc w:val="center"/>
              <w:ind w:left="20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ARCT</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08" w:lineRule="exact"/>
        <w:rPr>
          <w:sz w:val="24"/>
          <w:szCs w:val="24"/>
          <w:color w:val="auto"/>
        </w:rPr>
      </w:pPr>
    </w:p>
    <w:p>
      <w:pPr>
        <w:ind w:right="180" w:firstLine="60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8"/>
          <w:szCs w:val="18"/>
          <w:color w:val="auto"/>
        </w:rPr>
        <w:t>☐</w:t>
      </w:r>
    </w:p>
    <w:p>
      <w:pPr>
        <w:spacing w:after="0" w:line="69" w:lineRule="exact"/>
        <w:rPr>
          <w:sz w:val="24"/>
          <w:szCs w:val="24"/>
          <w:color w:val="auto"/>
        </w:rPr>
      </w:pPr>
    </w:p>
    <w:p>
      <w:pPr>
        <w:ind w:right="80" w:firstLine="608"/>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440" w:firstLine="60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23" w:lineRule="exact"/>
        <w:rPr>
          <w:sz w:val="24"/>
          <w:szCs w:val="24"/>
          <w:color w:val="auto"/>
        </w:rPr>
      </w:pPr>
    </w:p>
    <w:p>
      <w:pPr>
        <w:ind w:right="160" w:firstLine="60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20" w:right="2200"/>
        <w:spacing w:after="0" w:line="3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As of August 9, 2019, the registrant had 14,274,378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gridSpan w:val="20"/>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00" w:type="dxa"/>
            <w:vAlign w:val="bottom"/>
            <w:gridSpan w:val="20"/>
            <w:vMerge w:val="continue"/>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740" w:type="dxa"/>
            <w:vAlign w:val="bottom"/>
            <w:tcBorders>
              <w:top w:val="single" w:sz="8" w:color="0000EE"/>
            </w:tcBorders>
            <w:gridSpan w:val="4"/>
          </w:tcPr>
          <w:p>
            <w:pPr>
              <w:spacing w:after="0"/>
              <w:rPr>
                <w:sz w:val="18"/>
                <w:szCs w:val="18"/>
                <w:color w:val="auto"/>
              </w:rPr>
            </w:pPr>
          </w:p>
        </w:tc>
        <w:tc>
          <w:tcPr>
            <w:tcW w:w="746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2019 and December 31, 2018</w:t>
              </w:r>
            </w:hyperlink>
          </w:p>
        </w:tc>
        <w:tc>
          <w:tcPr>
            <w:tcW w:w="356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20"/>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Loss for the three and six months ended June 30, 2019 and</w:t>
              </w:r>
            </w:hyperlink>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Changes in Stockholders’ Equity for the three and six months ended June 30, 2019 and 2018</w:t>
              </w:r>
            </w:hyperlink>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 2019 and 2018</w:t>
              </w:r>
            </w:hyperlink>
          </w:p>
        </w:tc>
        <w:tc>
          <w:tcPr>
            <w:tcW w:w="24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0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4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Quantitative and Qualitative Disclosures About Market Risk</w:t>
              </w:r>
            </w:hyperlink>
          </w:p>
        </w:tc>
        <w:tc>
          <w:tcPr>
            <w:tcW w:w="534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Controls and Procedures</w:t>
              </w:r>
            </w:hyperlink>
          </w:p>
        </w:tc>
        <w:tc>
          <w:tcPr>
            <w:tcW w:w="7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OTHER INFORMATION</w:t>
              </w:r>
            </w:hyperlink>
          </w:p>
        </w:tc>
        <w:tc>
          <w:tcPr>
            <w:tcW w:w="782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18"/>
                <w:szCs w:val="18"/>
                <w:color w:val="auto"/>
              </w:rPr>
            </w:pPr>
          </w:p>
        </w:tc>
        <w:tc>
          <w:tcPr>
            <w:tcW w:w="838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Other Information</w:t>
              </w:r>
            </w:hyperlink>
          </w:p>
        </w:tc>
        <w:tc>
          <w:tcPr>
            <w:tcW w:w="794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Exhibits</w:t>
              </w:r>
            </w:hyperlink>
          </w:p>
        </w:tc>
        <w:tc>
          <w:tcPr>
            <w:tcW w:w="840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Signatures</w:t>
              </w:r>
            </w:hyperlink>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U.S. dollars in thousands, except par value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Equity-method investment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70,940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30,000 shares authorized; 13,120 issued and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June 30, 2019; NIS 0.07 par value; 30,000 shares authorized,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10,762 issued, 10,719 outstanding and 43 held in treasury at December 31, 2018</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(44,874)</w:t>
            </w:r>
          </w:p>
        </w:tc>
        <w:tc>
          <w:tcPr>
            <w:tcW w:w="0" w:type="dxa"/>
            <w:vAlign w:val="bottom"/>
          </w:tcPr>
          <w:p>
            <w:pPr>
              <w:spacing w:after="0"/>
              <w:rPr>
                <w:sz w:val="1"/>
                <w:szCs w:val="1"/>
                <w:color w:val="auto"/>
              </w:rPr>
            </w:pP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line="273"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dollars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income, net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(9,950)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(7,569)</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(16,521)</w:t>
            </w:r>
          </w:p>
        </w:tc>
        <w:tc>
          <w:tcPr>
            <w:tcW w:w="0" w:type="dxa"/>
            <w:vAlign w:val="bottom"/>
          </w:tcPr>
          <w:p>
            <w:pPr>
              <w:spacing w:after="0"/>
              <w:rPr>
                <w:sz w:val="1"/>
                <w:szCs w:val="1"/>
                <w:color w:val="auto"/>
              </w:rPr>
            </w:pPr>
          </w:p>
        </w:tc>
      </w:tr>
      <w:tr>
        <w:trPr>
          <w:trHeight w:val="270"/>
        </w:trPr>
        <w:tc>
          <w:tcPr>
            <w:tcW w:w="5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b w:val="1"/>
          <w:bCs w:val="1"/>
          <w:color w:val="auto"/>
        </w:rPr>
        <w:t>ARCTURUS THERAPEUTICS HOLDINGS INC. AND ITS SUBSIDIARIES</w:t>
      </w:r>
    </w:p>
    <w:p>
      <w:pPr>
        <w:jc w:val="center"/>
        <w:spacing w:after="0" w:line="218" w:lineRule="auto"/>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(unaudited)</w:t>
      </w:r>
    </w:p>
    <w:p>
      <w:pPr>
        <w:jc w:val="center"/>
        <w:spacing w:after="0"/>
        <w:rPr>
          <w:sz w:val="20"/>
          <w:szCs w:val="20"/>
          <w:color w:val="auto"/>
        </w:rPr>
      </w:pPr>
      <w:r>
        <w:rPr>
          <w:rFonts w:ascii="Times New Roman" w:cs="Times New Roman" w:eastAsia="Times New Roman" w:hAnsi="Times New Roman"/>
          <w:sz w:val="13"/>
          <w:szCs w:val="13"/>
          <w:color w:val="auto"/>
        </w:rPr>
        <w:t>U.S. dollars in thousands</w:t>
      </w:r>
    </w:p>
    <w:p>
      <w:pPr>
        <w:spacing w:after="0" w:line="1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Three Months Ended June 30, 2019</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30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432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(Loss) Gain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42"/>
        </w:trPr>
        <w:tc>
          <w:tcPr>
            <w:tcW w:w="43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March 31, 2019</w:t>
            </w: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10,762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214</w:t>
            </w:r>
          </w:p>
        </w:tc>
        <w:tc>
          <w:tcPr>
            <w:tcW w:w="1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58,701</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(52,561)</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6,354</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(685)</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Treasury stock</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Redomiciliation share exchange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common stock and option, net of issuance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15,545</w:t>
            </w:r>
          </w:p>
        </w:tc>
        <w:tc>
          <w:tcPr>
            <w:tcW w:w="100" w:type="dxa"/>
            <w:vAlign w:val="bottom"/>
            <w:shd w:val="clear" w:color="auto" w:fill="CFF0FC"/>
          </w:tcPr>
          <w:p>
            <w:pPr>
              <w:spacing w:after="0"/>
              <w:rPr>
                <w:sz w:val="12"/>
                <w:szCs w:val="12"/>
                <w:color w:val="auto"/>
              </w:rPr>
            </w:pPr>
          </w:p>
        </w:tc>
      </w:tr>
      <w:tr>
        <w:trPr>
          <w:trHeight w:val="142"/>
        </w:trPr>
        <w:tc>
          <w:tcPr>
            <w:tcW w:w="432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June 30, 2019</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13,120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74,851</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(53,246)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21,618</w:t>
            </w:r>
          </w:p>
        </w:tc>
        <w:tc>
          <w:tcPr>
            <w:tcW w:w="100" w:type="dxa"/>
            <w:vAlign w:val="bottom"/>
          </w:tcPr>
          <w:p>
            <w:pPr>
              <w:spacing w:after="0"/>
              <w:rPr>
                <w:sz w:val="12"/>
                <w:szCs w:val="12"/>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Three Months Ended June 30, 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4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300" w:type="dxa"/>
            <w:vAlign w:val="bottom"/>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43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(Loss) Gain</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Borders>
              <w:bottom w:val="single" w:sz="8" w:color="CFF0FC"/>
            </w:tcBorders>
          </w:tcPr>
          <w:p>
            <w:pPr>
              <w:spacing w:after="0"/>
              <w:rPr>
                <w:sz w:val="13"/>
                <w:szCs w:val="13"/>
                <w:color w:val="auto"/>
              </w:rPr>
            </w:pPr>
          </w:p>
        </w:tc>
      </w:tr>
      <w:tr>
        <w:trPr>
          <w:trHeight w:val="142"/>
        </w:trPr>
        <w:tc>
          <w:tcPr>
            <w:tcW w:w="43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March 31, 2018</w:t>
            </w: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10,738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213</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57,003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gridSpan w:val="2"/>
            <w:shd w:val="clear" w:color="auto" w:fill="CFF0FC"/>
          </w:tcPr>
          <w:p>
            <w:pPr>
              <w:jc w:val="right"/>
              <w:ind w:right="180"/>
              <w:spacing w:after="0" w:line="143" w:lineRule="exact"/>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(29,660)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27,551</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(9,950)</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(9,950)</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short-term investments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2"/>
                <w:szCs w:val="12"/>
                <w:color w:val="auto"/>
              </w:rPr>
            </w:pPr>
          </w:p>
        </w:tc>
      </w:tr>
      <w:tr>
        <w:trPr>
          <w:trHeight w:val="142"/>
        </w:trPr>
        <w:tc>
          <w:tcPr>
            <w:tcW w:w="432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June 30, 2018</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57,189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(39,610)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17,795</w:t>
            </w:r>
          </w:p>
        </w:tc>
        <w:tc>
          <w:tcPr>
            <w:tcW w:w="100" w:type="dxa"/>
            <w:vAlign w:val="bottom"/>
          </w:tcPr>
          <w:p>
            <w:pPr>
              <w:spacing w:after="0"/>
              <w:rPr>
                <w:sz w:val="12"/>
                <w:szCs w:val="12"/>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Six Months Ended June 30, 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4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300" w:type="dxa"/>
            <w:vAlign w:val="bottom"/>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432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(Loss) Gain</w:t>
            </w:r>
          </w:p>
        </w:tc>
        <w:tc>
          <w:tcPr>
            <w:tcW w:w="1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42"/>
        </w:trPr>
        <w:tc>
          <w:tcPr>
            <w:tcW w:w="432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December 31, 2018</w:t>
            </w: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10,762</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214</w:t>
            </w:r>
          </w:p>
        </w:tc>
        <w:tc>
          <w:tcPr>
            <w:tcW w:w="1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58,302</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(44,874)</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13,642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(7,569)</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(7,569)</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Treasury stock</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Redomiciliation share exchange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common stock and option, net of issuance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15,545</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Effect of adoption of ASU 2014-09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(803)</w:t>
            </w:r>
          </w:p>
        </w:tc>
      </w:tr>
      <w:tr>
        <w:trPr>
          <w:trHeight w:val="142"/>
        </w:trPr>
        <w:tc>
          <w:tcPr>
            <w:tcW w:w="432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June 30, 2019</w:t>
            </w:r>
          </w:p>
        </w:tc>
        <w:tc>
          <w:tcPr>
            <w:tcW w:w="9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13,120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13</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74,851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(53,246)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21,618</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3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Six Months Ended June 30, 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4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300" w:type="dxa"/>
            <w:vAlign w:val="bottom"/>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55"/>
        </w:trPr>
        <w:tc>
          <w:tcPr>
            <w:tcW w:w="43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(Loss) Gain</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Borders>
              <w:bottom w:val="single" w:sz="8" w:color="CFF0FC"/>
            </w:tcBorders>
          </w:tcPr>
          <w:p>
            <w:pPr>
              <w:spacing w:after="0"/>
              <w:rPr>
                <w:sz w:val="13"/>
                <w:szCs w:val="13"/>
                <w:color w:val="auto"/>
              </w:rPr>
            </w:pPr>
          </w:p>
        </w:tc>
      </w:tr>
      <w:tr>
        <w:trPr>
          <w:trHeight w:val="142"/>
        </w:trPr>
        <w:tc>
          <w:tcPr>
            <w:tcW w:w="43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December 31, 2017</w:t>
            </w:r>
          </w:p>
        </w:tc>
        <w:tc>
          <w:tcPr>
            <w:tcW w:w="9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10,699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56,674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gridSpan w:val="2"/>
            <w:shd w:val="clear" w:color="auto" w:fill="CFF0FC"/>
          </w:tcPr>
          <w:p>
            <w:pPr>
              <w:jc w:val="right"/>
              <w:ind w:right="180"/>
              <w:spacing w:after="0" w:line="143" w:lineRule="exact"/>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(23,089)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33,794</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(16,521)</w:t>
            </w:r>
          </w:p>
        </w:tc>
        <w:tc>
          <w:tcPr>
            <w:tcW w:w="8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(16,521)</w:t>
            </w: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short-term investments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2"/>
                <w:szCs w:val="12"/>
                <w:color w:val="auto"/>
              </w:rPr>
            </w:pPr>
          </w:p>
        </w:tc>
      </w:tr>
      <w:tr>
        <w:trPr>
          <w:trHeight w:val="14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FF0FC"/>
          </w:tcPr>
          <w:p>
            <w:pPr>
              <w:spacing w:after="0"/>
              <w:rPr>
                <w:sz w:val="12"/>
                <w:szCs w:val="12"/>
                <w:color w:val="auto"/>
              </w:rPr>
            </w:pPr>
          </w:p>
        </w:tc>
      </w:tr>
      <w:tr>
        <w:trPr>
          <w:trHeight w:val="142"/>
        </w:trPr>
        <w:tc>
          <w:tcPr>
            <w:tcW w:w="432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 – June 30, 2018</w:t>
            </w: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10,748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214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57,189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(39,610)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17,795</w:t>
            </w:r>
          </w:p>
        </w:tc>
        <w:tc>
          <w:tcPr>
            <w:tcW w:w="100" w:type="dxa"/>
            <w:vAlign w:val="bottom"/>
          </w:tcPr>
          <w:p>
            <w:pPr>
              <w:spacing w:after="0"/>
              <w:rPr>
                <w:sz w:val="12"/>
                <w:szCs w:val="12"/>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jc w:val="center"/>
        <w:spacing w:after="0" w:line="256"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U.S. dollars in thousands</w:t>
      </w:r>
    </w:p>
    <w:p>
      <w:pPr>
        <w:spacing w:after="0" w:line="199"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(7,569)</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(16,521)</w:t>
            </w:r>
          </w:p>
        </w:tc>
      </w:tr>
      <w:tr>
        <w:trPr>
          <w:trHeight w:val="23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reconcile net loss to net cash provided by (used in) operating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right-of-use operating lease asset</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operating assets and liabilities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w:t>
            </w: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(9,211)</w:t>
            </w: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the issuance of restricted common stock and option, net of issuance costs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9"/>
                <w:szCs w:val="19"/>
                <w:color w:val="auto"/>
              </w:rPr>
            </w:pPr>
          </w:p>
        </w:tc>
      </w:tr>
      <w:tr>
        <w:trPr>
          <w:trHeight w:val="223"/>
        </w:trPr>
        <w:tc>
          <w:tcPr>
            <w:tcW w:w="80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120" w:type="dxa"/>
            <w:vAlign w:val="bottom"/>
            <w:tcBorders>
              <w:bottom w:val="single" w:sz="8" w:color="CFF0FC"/>
            </w:tcBorders>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6"/>
        </w:trPr>
        <w:tc>
          <w:tcPr>
            <w:tcW w:w="8000" w:type="dxa"/>
            <w:vAlign w:val="bottom"/>
          </w:tcPr>
          <w:p>
            <w:pPr>
              <w:spacing w:after="0"/>
              <w:rPr>
                <w:sz w:val="24"/>
                <w:szCs w:val="24"/>
                <w:color w:val="auto"/>
              </w:rPr>
            </w:pPr>
          </w:p>
        </w:tc>
        <w:tc>
          <w:tcPr>
            <w:tcW w:w="270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
        </w:trPr>
        <w:tc>
          <w:tcPr>
            <w:tcW w:w="80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80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9"/>
                <w:szCs w:val="19"/>
                <w:color w:val="auto"/>
              </w:rPr>
            </w:pP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 obtained in exchange for lease liabilities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80" w:type="dxa"/>
            <w:vAlign w:val="bottom"/>
          </w:tcPr>
          <w:p>
            <w:pPr>
              <w:spacing w:after="0"/>
              <w:rPr>
                <w:sz w:val="19"/>
                <w:szCs w:val="19"/>
                <w:color w:val="auto"/>
              </w:rPr>
            </w:pP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 of intangible assets for equity investment</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Release of repurchase liability for restricted shares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 in accounts payable</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ind w:left="260" w:right="270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NOTES TO CONDENSED CONSOLIDATED FINANCIAL STATEMENTS (Unaudited)</w:t>
      </w:r>
    </w:p>
    <w:p>
      <w:pPr>
        <w:spacing w:after="0" w:line="171" w:lineRule="exact"/>
        <w:rPr>
          <w:sz w:val="20"/>
          <w:szCs w:val="20"/>
          <w:color w:val="auto"/>
        </w:rPr>
      </w:pPr>
    </w:p>
    <w:p>
      <w:pPr>
        <w:ind w:right="3560"/>
        <w:spacing w:after="0" w:line="378" w:lineRule="auto"/>
        <w:rPr>
          <w:sz w:val="20"/>
          <w:szCs w:val="20"/>
          <w:color w:val="auto"/>
        </w:rPr>
      </w:pPr>
      <w:r>
        <w:rPr>
          <w:rFonts w:ascii="Times New Roman" w:cs="Times New Roman" w:eastAsia="Times New Roman" w:hAnsi="Times New Roman"/>
          <w:sz w:val="18"/>
          <w:szCs w:val="18"/>
          <w:b w:val="1"/>
          <w:bCs w:val="1"/>
          <w:color w:val="auto"/>
        </w:rPr>
        <w:t>Note 1. Description of Business, Basis of Presentation and Summary of Significant Accounting Policies Description of Business</w:t>
      </w: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Arcturus Therapeutics Holdings Inc. and its subsidiaries (referred to as the “Company”) is a RNA medicines company focused on significant opportunities in rare, liver, and respiratory diseases. Management believes that the Company’s key proprietary technology has the potential to address the major hurdles in RNA development, namely the effective and safe delivery of RNA therapeutics to disease-relevant target tissues.</w:t>
      </w:r>
    </w:p>
    <w:p>
      <w:pPr>
        <w:spacing w:after="0" w:line="6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financial statements for periods prior to June 17, 2019, the effective date of the Redomiciliation, relate to Arcturus Therapeutics Ltd. and relate to Arcturus Therapeutics Holdings Inc. for the period from and after June 17, 2019. Unless stated otherwise or the context otherwise requires, references to the “Company,” “Arcturus,” “we,” “our” and “us” mean Arcturus Therapeutics Holdings Inc. and its consolidated subsidiaries from and after the effective time of the Redomiciliation and, prior to that time, to its predecessor, Arcturus Therapeutics Ltd.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2018.</w:t>
      </w:r>
    </w:p>
    <w:p>
      <w:pPr>
        <w:spacing w:after="0" w:line="6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are prepared in accordance with GAAP, which requires management to make estimates and assumptions regarding the valuation of certain debt and equity instruments, the equity-method investment, share-based compensation, accruals for liabilities,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Company’s activities since inception have consisted principally of performing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6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The Company is a pre-clinical bioscience company that is dependent on obtaining external equity and debt financings to fund its operations. Historically, the Company’s primary sources of financing have been through the sale of its securities, through issuance of debt and through collaboration agreements. The Company raised $10.0 million in gross proceeds from a long-term debt agreement entered into on October 12, 2018 with Western Alliance Bank (Note 5). In addition, on June 18, 2019, the Company entered into a Third Amendment to the Research Collaboration and License Agreement (the “Third Amendment”) with Ultragenyx Pharmaceutical Inc. (“Ultragenyx”), from which the Company received $30.0 million (Note 2). Research and development activities have required significant capital investment since the Company’s inception.</w:t>
      </w:r>
    </w:p>
    <w:p>
      <w:pPr>
        <w:spacing w:after="0" w:line="80" w:lineRule="exact"/>
        <w:rPr>
          <w:sz w:val="20"/>
          <w:szCs w:val="20"/>
          <w:color w:val="auto"/>
        </w:rPr>
      </w:pPr>
    </w:p>
    <w:p>
      <w:pPr>
        <w:ind w:right="20" w:firstLine="518"/>
        <w:spacing w:after="0" w:line="263" w:lineRule="auto"/>
        <w:rPr>
          <w:sz w:val="20"/>
          <w:szCs w:val="20"/>
          <w:color w:val="auto"/>
        </w:rPr>
      </w:pPr>
      <w:r>
        <w:rPr>
          <w:rFonts w:ascii="Times New Roman" w:cs="Times New Roman" w:eastAsia="Times New Roman" w:hAnsi="Times New Roman"/>
          <w:sz w:val="18"/>
          <w:szCs w:val="18"/>
          <w:color w:val="auto"/>
        </w:rPr>
        <w:t>The Company expects its operations to continue to require cash investment to pursue the Company’s research and development activities, including preclinical studies, formulation development, clinical trials and related drug manufacturing. The Company has experienced net losses since its inception and as of June 30, 2019 has an accumulated deficit of $53.2 million. The Company expects to continue to incur additional losses for the foreseeable future, and the Company will need to raise additional debt or equity financing or enter into additional collaborations to fund its development. The ability of the Company to transition to profitability is dependent on identifying and developing successful mRNA drug candidates. In the near future, if the Company is not able to achieve planned milestones, incurs costs in excess of its forecasts, or does not meet the covenant requirements associated with its debt (Note 5), it will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t>need to reduce discretionary spending, or discontinue the development of some or all of its products, which will delay part of its development programs, all of which will have a material adverse effect on the Company’s ability to achieve its intended business objectives. There can be no assurances that additional financing will be secured or, if secured, will be on favorable terms to the Company. The Company’s management is of the opinion that its current financial resources will be sufficient to continue the development of the Company’s products for at least twelve months from the date that the condensed consolidated financial statements for the quarter ended June 30, 2019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Arcturus Therapeutics Ltd. (“Arcturus Israel”) completed the process to redomicile from an Israeli limited company to a Delaware corporation (the “Redomiciliation”). On February 11, 2019, Arcturus Israel filed an application with the Tel-Aviv District Court (the “Israeli Court”) to approve the convening of a general shareholders meeting of Arcturus Israel for the approval of the Redomiciliation pursuant to Sections 350 and 351 of the Israeli Companies Law (the “Companies Law”). Following the Israeli Court approval dated March 13, 2019, the Company filed with the Securities and Exchange Commission a registration statement on Form S-4 (the “Form S-4”), which included a joint proxy statement/prospectus for the convening of the general shareholder meeting, held on May 17, 2019, as described in the Form S-4. The general shareholders meeting resulted in the approval of the Redomiciliation, and Arcturus Israel then approached the Israeli Court and requested its approval of the Redomiciliation.</w:t>
      </w:r>
    </w:p>
    <w:p>
      <w:pPr>
        <w:spacing w:after="0" w:line="8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the Redomiciliation, Arcturus Israel entered into a share exchange agreement (the “Exchange Agreement”) with a special-purpose company, Arcturus Therapeutics Holdings Inc., the reporting company and parent to Arcturus Therapeutics, Inc. (“Arcturus Sub”).</w:t>
      </w:r>
    </w:p>
    <w:p>
      <w:pPr>
        <w:spacing w:after="0" w:line="5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furtherance of the Redomiciliation, and pursuant to the terms of the Exchange Agreement, the holders of ordinary shares of Arcturus Israel as of a future record date and the holders of options to purchase ordinary shares of Arcturus Israel as of the same record date transferred their ordinary shares of Arcturus Israel and options to purchase ordinary shares of Arcturus Israel, respectively, to the Company and, in exchange thereof, received one share of common stock of the Company for each ordinary share of Arcturus Israel and an option to purchase one share of common stock of the Company in exchange for each ordinary share of Arcturus Israel underlying the existing option to be so exchanged, respectively.</w:t>
      </w:r>
    </w:p>
    <w:p>
      <w:pPr>
        <w:spacing w:after="0" w:line="76"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As a result of the Exchange Agreement, the par value of Arcturus Israel’s ordinary shares prior to the Redomiciliation is presented in New Israeli Shekel (“NIS”) and the par value of the Company’s common stock subsequent to the Redomiciliation is presented in United States Dollars (“USD”).</w:t>
      </w:r>
    </w:p>
    <w:p>
      <w:pPr>
        <w:spacing w:after="0" w:line="5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of June 17, 2019, the common stock of the Company is listed on the NASDAQ Stock Market LLC (“NASDAQ”). Upon consummation of the transactions contemplated by the Share Exchange Agreement, Arcturus Israel’s ordinary shares were delisted from trading on NASDAQ, and Arcturus Israel became a private company (as defined in the Companies Law) wholly-owned by the Company.</w:t>
      </w:r>
    </w:p>
    <w:p>
      <w:pPr>
        <w:spacing w:after="0" w:line="68"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on June 12, 2019 all of the shares of Arcturus Sub were distributed to the Company and Arcturus Sub become a wholly-owned and direct subsidiary of the Company. This distribution was completed in connection with a liquidation of Arcturus Israel which was formally initiated after the redomiciliation described above.</w:t>
      </w:r>
    </w:p>
    <w:p>
      <w:pPr>
        <w:spacing w:after="0" w:line="66" w:lineRule="exact"/>
        <w:rPr>
          <w:sz w:val="20"/>
          <w:szCs w:val="20"/>
          <w:color w:val="auto"/>
        </w:rPr>
      </w:pPr>
    </w:p>
    <w:p>
      <w:pPr>
        <w:ind w:right="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Subsequent Events”</w:t>
      </w:r>
      <w:r>
        <w:rPr>
          <w:rFonts w:ascii="Times New Roman" w:cs="Times New Roman" w:eastAsia="Times New Roman" w:hAnsi="Times New Roman"/>
          <w:sz w:val="18"/>
          <w:szCs w:val="18"/>
          <w:color w:val="auto"/>
        </w:rPr>
        <w:t xml:space="preserve"> for further information related to the CureVac Amendment, CFF Amendment and Registered Direct Offerings, each as defined therein.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w:t>
      </w:r>
      <w:r>
        <w:rPr>
          <w:rFonts w:ascii="Times New Roman" w:cs="Times New Roman" w:eastAsia="Times New Roman" w:hAnsi="Times New Roman"/>
          <w:sz w:val="18"/>
          <w:szCs w:val="18"/>
          <w:i w:val="1"/>
          <w:iCs w:val="1"/>
          <w:color w:val="auto"/>
        </w:rPr>
        <w:t>ASU 2014-09, Revenue from Contracts with Customers (Topic 606)</w:t>
      </w:r>
      <w:r>
        <w:rPr>
          <w:rFonts w:ascii="Times New Roman" w:cs="Times New Roman" w:eastAsia="Times New Roman" w:hAnsi="Times New Roman"/>
          <w:sz w:val="18"/>
          <w:szCs w:val="18"/>
          <w:color w:val="auto"/>
        </w:rPr>
        <w:t>, or 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terms of the Company’s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Company records research funding as accounts receivable when the right to consideration is unconditional.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Topic</w:t>
      </w:r>
    </w:p>
    <w:p>
      <w:pPr>
        <w:spacing w:after="0" w:line="27" w:lineRule="exact"/>
        <w:rPr>
          <w:sz w:val="20"/>
          <w:szCs w:val="20"/>
          <w:color w:val="auto"/>
        </w:rPr>
      </w:pPr>
    </w:p>
    <w:p>
      <w:pPr>
        <w:ind w:right="20" w:firstLine="8"/>
        <w:spacing w:after="0" w:line="253"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contract’s transaction price is allocated to each distinct performance obligation based on relative standalone selling price and recognized as revenue when, or as, the performance obligation is satisfied. Under Topic 606, the Company elected to use the practical expedients permitted related to adoption, which does not require the Company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“Collaboration Revenue”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 The Company continues to report its financial position as of December 31, 2018 under the former lease accounting standard (Topic 840) in the condensed consolidated balance sheet.</w:t>
      </w:r>
    </w:p>
    <w:p>
      <w:pPr>
        <w:spacing w:after="0" w:line="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adoption impact was due to the recognition of an operating lease liability with a corresponding right-of-use asset based on the present value of remaining minimum lease payments. A reduction of the right-of-use asset was recorded to reflect the balance of the deferred rent obligation and there was no impact to retained earnings.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preclinical studies and other external costs are shown net of any royalty bearing grants.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19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5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w:t>
            </w: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shown in the statement of cash flows</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55,947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bottom w:val="single" w:sz="8" w:color="CFF0FC"/>
            </w:tcBorders>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1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Topic 606, which supersedes nearly all existing revenue recognition guidance under GAAP. The FASB subsequently issued amendments to Topic 606 that have the same effective date and transition date.</w:t>
      </w:r>
    </w:p>
    <w:p>
      <w:pPr>
        <w:spacing w:after="0" w:line="54"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The Company adopted this new guidance, effective January 1, 2019, using the modified retrospective transition method, in which the standard is applied as of the date of initial adoption. The Company recorded the cumulative effect of initially applying the standard as an adjustment to the opening balance of accumulated deficit. The adoption of the new revenue recognition guidance resulted in an increase of $0.8 million to deferred revenue and an increase of $0.8 million to accumulated deficit as of January 1, 2019. The change in revenue was due to a change in how the Company accounts for changes in the measure of progress and changes to the transaction price and for the recognition of revenue. Under Topic 605, the Company accounted for changes to the measure of progress and changes to the transaction price prospectively. Topic 606 requires companies to account for a change to the measure of progress or a change to the transaction price as a cumulative catch-up in the period of change. There were no other impacts upon the adoption of Topic 606. The Company will apply the standard to all new contracts initiated on or after the effective date.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7"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in order to increase transparency and comparability among organizations by recognizing lease assets and lease liabilities on the balance sheet for those leases classified as operating leases under previous GAAP. ASU 2016-02 requires a lessee to recognize a liability for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w:t>
      </w:r>
    </w:p>
    <w:p>
      <w:pPr>
        <w:spacing w:after="0" w:line="99" w:lineRule="exact"/>
        <w:rPr>
          <w:sz w:val="20"/>
          <w:szCs w:val="20"/>
          <w:color w:val="auto"/>
        </w:rPr>
      </w:pPr>
    </w:p>
    <w:p>
      <w:pPr>
        <w:ind w:right="2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provides entities an optional transition method to apply the new guidance as of the adoption date, rather than as of the earliest period presented. In transition, entities may also elect a package of practical expedients that must be applied in its entirety to all leases commencing before the effective date, unless the lease was modified, to not reassess (a) the existence of a lease, (b) lease classification or (c) determination of initial direct costs, which effectively allows entities to carryforward accounting conclusions under previous U.S. GAAP.</w:t>
      </w:r>
    </w:p>
    <w:p>
      <w:pPr>
        <w:spacing w:after="0" w:line="7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The Company adopted ASU 2016-02, using the optional transition method and electing the package of practical expedients described above on January 1, 2019. Due to the adoption, the Company recognized a new lease liability on the Company's consolidated balance sheet for its operating lease of office and lab space of $6.4 million on January 1, 2019, with a corresponding right-of-use asset of $5.9 million based on the present value of the remaining minimum rental payments. See Note 8 for further discussion.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Collaboration Revenue</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or second patient in or completion of Phase I, II, and III clinical trials, and commercial revenue is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2" w:right="259" w:bottom="1440" w:gutter="0" w:footer="0" w:header="0"/>
        </w:sectPr>
      </w:pPr>
    </w:p>
    <w:bookmarkStart w:id="10" w:name="page11"/>
    <w:bookmarkEnd w:id="10"/>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during the six months ended June 30, 2019 in the balances of contract assets, including receivables from collaborative partners, and contract liabilities, including deferred revenue, as compared to what was disclosed in the Company’s Annual Report.</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20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2018</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for advanced billings</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20" w:type="dxa"/>
            <w:vAlign w:val="bottom"/>
          </w:tcPr>
          <w:p>
            <w:pPr>
              <w:spacing w:after="0"/>
              <w:rPr>
                <w:sz w:val="19"/>
                <w:szCs w:val="19"/>
                <w:color w:val="auto"/>
              </w:rPr>
            </w:pPr>
          </w:p>
        </w:tc>
      </w:tr>
      <w:tr>
        <w:trPr>
          <w:trHeight w:val="230"/>
        </w:trPr>
        <w:tc>
          <w:tcPr>
            <w:tcW w:w="7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Deductions for cash collections</w:t>
            </w:r>
          </w:p>
        </w:tc>
        <w:tc>
          <w:tcPr>
            <w:tcW w:w="3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(9,701)</w:t>
            </w: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20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2018</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for advanced billings</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120" w:type="dxa"/>
            <w:vAlign w:val="bottom"/>
          </w:tcPr>
          <w:p>
            <w:pPr>
              <w:spacing w:after="0"/>
              <w:rPr>
                <w:sz w:val="19"/>
                <w:szCs w:val="19"/>
                <w:color w:val="auto"/>
              </w:rPr>
            </w:pPr>
          </w:p>
        </w:tc>
      </w:tr>
      <w:tr>
        <w:trPr>
          <w:trHeight w:val="211"/>
        </w:trPr>
        <w:tc>
          <w:tcPr>
            <w:tcW w:w="7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for promised goods/services to be provided in current and future periods in</w:t>
            </w:r>
          </w:p>
        </w:tc>
        <w:tc>
          <w:tcPr>
            <w:tcW w:w="3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connection with Topic 606 adoption</w:t>
            </w:r>
          </w:p>
        </w:tc>
        <w:tc>
          <w:tcPr>
            <w:tcW w:w="30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FF0FC"/>
          </w:tcPr>
          <w:p>
            <w:pPr>
              <w:spacing w:after="0"/>
              <w:rPr>
                <w:sz w:val="20"/>
                <w:szCs w:val="20"/>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Deductions for promised goods/services provided in current period</w:t>
            </w:r>
          </w:p>
        </w:tc>
        <w:tc>
          <w:tcPr>
            <w:tcW w:w="30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(14,877)</w:t>
            </w:r>
          </w:p>
        </w:tc>
      </w:tr>
      <w:tr>
        <w:trPr>
          <w:trHeight w:val="223"/>
        </w:trPr>
        <w:tc>
          <w:tcPr>
            <w:tcW w:w="79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June 30, 2019</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paragraphs provide information regarding the nature and purpose of the Company’s most significant collaboration arrangements.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Partner – Janssen</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The Company received an upfront payment of $7.7 million and may receive preclinical, development and sales milestone payments of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Analysis under ASC 606</w:t>
      </w:r>
    </w:p>
    <w:p>
      <w:pPr>
        <w:spacing w:after="0" w:line="11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evaluating the 2017 Agreement in accordance with ASC Topic 606, the Company concluded that the contract counterparty, Janssen, is a customer. The Company identified the following promised goods/services as of the inception of the Agreement: (i) research services, (ii) license to use Arcturus technology and (iii) participation in the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8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At inception of the contract, the transaction price included the $7.7 million upfront consideration received and budgeted reimbursable out-of-pocket costs of $18.2 million.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 As of June 30, 2019, the remaining transaction price of $23.6 million is expected to be recognized using an input method over the remaining research period of 21 months. The Company will re-evaluate the transaction price in each reporting period as uncertain events are resolved and other changes in circumstances occur. For the three months ended June 30, 2019, no adjustments were made to the transaction price.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 w:name="page12"/>
    <w:bookmarkEnd w:id="11"/>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the Company determined that only a single performance obligation exists, no allocation of the transaction price is necessary. The transaction price is recorded as deferred revenue in the Company’s balance sheet and is recognized as revenue under the proportional performance method of revenue recognition in accordance with the Company’s established budget of costs to be incurred. Total deferred revenue as of June 30, 2019 and December 31, 2018 for Janssen was $6.2 million and $6.5 million, respectively. The Company recognized revenue of $0.6 million and $1.1 million for the three and six months ended June 30, 2019, respectively, and $0.2 million and $0.3 million for the three and six months ended June 30, 2018, respectively. No transition adjustment was necessary upon adoption of Topic 606.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Partner – Ultragenyx</w:t>
      </w:r>
    </w:p>
    <w:p>
      <w:pPr>
        <w:spacing w:after="0" w:line="119"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In October 2015 the Company entered into a research collaboration and license agreement with Ultragenyx (the “Ultragenyx Agreement”), whereby Arcturus granted to Ultragenyx a co-exclusive license under Arcturus technology and shall be in effect only during the reserve target exclusivity term as discussed in the following paragraphs.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80" w:lineRule="exact"/>
        <w:rPr>
          <w:sz w:val="20"/>
          <w:szCs w:val="20"/>
          <w:color w:val="auto"/>
        </w:rPr>
      </w:pPr>
    </w:p>
    <w:p>
      <w:pPr>
        <w:ind w:right="580" w:firstLine="518"/>
        <w:spacing w:after="0" w:line="313" w:lineRule="auto"/>
        <w:rPr>
          <w:sz w:val="20"/>
          <w:szCs w:val="20"/>
          <w:color w:val="auto"/>
        </w:rPr>
      </w:pPr>
      <w:r>
        <w:rPr>
          <w:rFonts w:ascii="Times New Roman" w:cs="Times New Roman" w:eastAsia="Times New Roman" w:hAnsi="Times New Roman"/>
          <w:sz w:val="17"/>
          <w:szCs w:val="17"/>
          <w:color w:val="auto"/>
        </w:rPr>
        <w:t>For each program, Ultragenyx will reimburse the Company for all internal and external development costs incurred, pursuant to the Ultragenyx Agreement, and if Ultragenyx achieves certain, clinical, regulatory and sales milestones, then the Company is eligible to receive royalty payments.</w:t>
      </w:r>
    </w:p>
    <w:p>
      <w:pPr>
        <w:spacing w:after="0" w:line="30"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part of the Ultragenyx Agreement, Ultragenyx paid an upfront fee of $10.0 million and agreed to certain research and development funding obligations. The Company is also entitled to certain additional payments upon exercise of the Ultragenyx expansion option or exclusivity extension (if any), and for costs incurred by the Company in conducting the activities assigned under each collaboration development plan. In addition, on a development target-by-development target basis during the two-year period from the effective date of contract, Ultragenyx will pay the Company a one-time milestone payment after the first optimized lead designation for the first product with respect of such development target. For each development target for which Ultragenyx exercises its option, Ultragenyx will pay the Company a one-time option exercise fee that increases based upon the number of development targets selected by Ultragenyx from $2.0 million to $5.0 million. Upon execution of Amendment 3, defined and discussed below, the option exercise fees per development target range from $0.5 million to $1.5 million.</w:t>
      </w:r>
    </w:p>
    <w:p>
      <w:pPr>
        <w:spacing w:after="0" w:line="77"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agreement includes potential milestone payments for selected targets from Ultragenyx to the Company. The current potential development, regulatory and commercial milestone payments for the existing development targets as of June 30, 2019 are $139.0 million. Ultragenyx will pay royalties as a single-digit percentage of net sales on a product-by-product and country-by-country basis during the applicable royalty term. As of June 30, 2019, the Company has not yet reached the clinical phase of the contract. In 2018, the Company signed an amendment with Ultragenyx, that will reduce option exercise fees, milestone payments and/or royalty rates by 50% dependent on whether a development target or product is not covered by a patent directed to a chemistry methodology to increase mRNA half-life. For Amendment 3, defined and discussed below, the 50% reduction does not apply to the option exercise fees.</w:t>
      </w:r>
    </w:p>
    <w:p>
      <w:pPr>
        <w:spacing w:after="0" w:line="8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During 2017, the Company entered into an amendment with Ultragenyx to add one year to the exclusivity period for the reserved targets, in consideration for a one-time payment of $2.0 million. The extension of the exclusivity period did not change the length of the research and development period. Further, the amendment allows Ultragenyx the opportunity to review and comment on its filings and prosecution efforts of pending Company patents that relate to Ultragenyx chemistry. During the fourth quarter of 2018, Ultragenyx extended the exclusivity on a specified number of reserved targets for an additional year with an annual reserve target list maintenance fee of $1.5 million.</w:t>
      </w:r>
    </w:p>
    <w:p>
      <w:pPr>
        <w:spacing w:after="0" w:line="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giving Ultragenyx 18.3% ownership in the Company. Along with the equity purchase, Ultragenyx received the option to purchase 0.6 million additional shares of common stock at $16 per share within two years of executing the amendment (Note 6).</w:t>
      </w:r>
    </w:p>
    <w:p>
      <w:pPr>
        <w:spacing w:after="0" w:line="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consideration received from Ultragenyx is equal to $30.0 million, comprised of a $24.0 million common stock purchase and a $6.0 million upfront payment. Specifically for Amendment 3, management determined the transaction price to be $14.4 million, comprised of $6.0 million from the upfront payment and $8.4 million from the premium paid by Ultragenyx for the purchase of Arcturus common stock.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are restricted for two years.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color w:val="auto"/>
        </w:rPr>
        <w:t>Accounting Analysis under ASC 606</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evaluating the Ultragenyx agreement in accordance with ASC Topic 606, the Company concluded that the contract counterparty, Ultragenyx, is a customer. The Company identified the following promised goods/services as of the inception of the Agreement and execution of Amendment 3: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8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At inception of the contract, the transaction price included only the upfront consideration received. The Company concluded that the reimbursement of labor and expenses qualifies for the practical expedient under Topic 606, which allows the Company to recognize revenue in the amount for which it has a right to invoice if the Company’s right to consideration is an amount that corresponds directly to the value to the customer of the performance completed to date. Therefore under the practical expedient the Company is not required to determine the transaction price, allocate the transaction price and determine the timing of revenue recognition for the reimbursement of labor and expenses.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Food and Drug Administration (“FDA”)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 Upon execution of the 2017 amendment, the $2.0 million payment was added to the transaction price. The exclusivity extension fee received by the Company during the fourth quarter of 2018 was recorded as deferred revenue and has been recognized as revenue on a straight-line basis over the one-year period that the promised goods/services are provided. Upon execution of Amendment 3, the exclusivity extension fee was added to the transaction price.</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Upon execution of Amendment 3, the Company concluded that there is a single performance obligation, and no allocation of the transaction price is necessary. Amendment 3 was deemed a contract modification and accounted for as part of the original Ultragenyx Agreement. Management increased the transaction price by $14.4 million and the Company recorded a cumulative catch-up adjustment of $1.1 million on the modification date. The new transaction price will be recognized to revenue on a straight-line basis using an input method over the 4-year reserve target exclusivity period. The reserve target exclusivity period represents the timing over which promised goods/services will be provided. The Company will re-evaluate the transaction price in each reporting period as uncertain events are resolved and other changes in circumstances occur. Total deferred revenue as of June 30, 2019 and December 31, 2018 for Ultragenyx was $14.5 million and $2.7 million, respectively. The Company recognized revenue of $2.5 million and $3.9 million for the three and six months ended June 30, 2019, respectively, and $1.2 million and $2.7 million for the three and six months ended June 30, 2018, respectively.</w:t>
      </w:r>
    </w:p>
    <w:p>
      <w:pPr>
        <w:spacing w:after="0" w:line="7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Upon adoption of Topic 606, the Company reversed $0.8 million of previously recorded revenue related to Ultragenyx through an increase to deferred revenue and a decrease to beginning retained earnings. The adjustment was due to a change in the way the Company accounts for updates to the period over which revenue is recognized as well as accounting for adjustments to the transaction price. Under Topic 605, the Company accounted for these changes prospectively and under Topic 606 the Company accounts for the changes as a change in estimate recorded as a cumulative catch-up in the period in which the change occurred.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Partner – CureVac</w:t>
      </w:r>
    </w:p>
    <w:p>
      <w:pPr>
        <w:spacing w:after="0" w:line="11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January 2018, the Company entered into a Development and Option Agreement with CureVac, (the “Development and Option Agreement”). Under the terms of the Development and Option Agreement, the parties have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(which is defined below and discussed in the following paragraph) the license agreement will terminate as such programs will be covered under the Co-Development Agreement discussed below, and therefore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13" w:name="page14"/>
    <w:bookmarkEnd w:id="13"/>
    <w:p>
      <w:pPr>
        <w:ind w:right="540"/>
        <w:spacing w:after="0" w:line="282" w:lineRule="auto"/>
        <w:rPr>
          <w:sz w:val="20"/>
          <w:szCs w:val="20"/>
          <w:color w:val="auto"/>
        </w:rPr>
      </w:pPr>
      <w:r>
        <w:rPr>
          <w:rFonts w:ascii="Times New Roman" w:cs="Times New Roman" w:eastAsia="Times New Roman" w:hAnsi="Times New Roman"/>
          <w:sz w:val="18"/>
          <w:szCs w:val="18"/>
          <w:color w:val="auto"/>
        </w:rPr>
        <w:t>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5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Prior to expiration of the initial term of 8 years, the Agreement also includes an option to extend the term on an annual basis for up to 3 years and subject to payment by CureVac to Arcturus of a non-refundable annual extension fee. The agreement included potential milestone payments for selected targets from CureVac to the Company. The current potential milestone payment for the remaining target as of June 30, 2019 is $14.0 million for rare disease targets and $23.0 million for non-rare disease targets. CureVac will pay royalties as a percentage of net sales on a product-by-product and country-by-country basis during the applicable royalty term in the low single-digit range. As of June 30, 2019, the Company has not yet reached the clinical phase of the contract. Pursuant to a May 2018 amendment to the Development and Option Agreement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77"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180 days from February 5, 2019 and the re-assumption by the Company of the worldwide rights thereto. Subsequent to June 30, 2019, CureVac and the Company terminated the Co-Development Agreement for a settlement payment of $4.0 million (Note 10).</w:t>
      </w:r>
    </w:p>
    <w:p>
      <w:pPr>
        <w:spacing w:after="0" w:line="7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Arcturus will reassume 100% global rights for its flagship asset, clinical development candidate ARCT-810, a messenger RNA (mRNA) drug to treat ornithine transcarbamylase (“OTC”) deficiency. ARCT-810 was previously subject to equal cost sharing between Arcturus and CureVac under the Co-Development Agreement. CureVac elected not to continue its obligations for the preclinical development of ARCT-810 under and pursuant to the terms of the agreement. Under the terms of the Co-Development Agreement, the parties collaborated to develop and commercialize mRNA-based products for treating OTC deficiency, incorporating CureVac’s mRNA technology, the Arcturus’ mRNA technology and the Arcturus Delivery Technology. The overall collaboration with CureVac was managed by a joint steering committee. Pursuant to the Co-Development Agreement, the Company and CureVac shared equally the internal costs and third-party costs incurred to conduct preclinical development, subject to exceptions specified in the Co-Development Agreement for specified manufacturing costs and costs in the parties’ respective development plans, among others.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Analysis under ASC 606</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evaluating the CureVac Development and Option Agreement and Co-Development Agreement in accordance with ASC Topic 606, the Company concluded that the contract counterparty, CureVac, is a customer. The Company identified the following promised goods/services as of the inception of the Agreement: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8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At inception of the contract, the transaction price included only the $5.0 million upfront consideration received. The Company concluded that the reimbursement of labor and expenses within the Development and Option Agreement qualifies for the practical expedient under Topic 606 which allows the Company to recognize revenue in the amount for which it has a right to invoice if the Company’s right to consideration is an amount that corresponds directly to the value to the customer of the performance completed to date. Therefore, under the practical expedient, the Company is not required to determine the transaction price, allocate the transaction price and determine the timing of revenue recognition for the reimbursement of labor and expenses.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The Company will re-evaluate the transaction price in each reporting period as uncertain events are resolved and other changes in circumstances occur. For the three months ended June 30, 2019, no adjustments were made to the transaction price.</w:t>
      </w:r>
    </w:p>
    <w:p>
      <w:pPr>
        <w:spacing w:after="0" w:line="83"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As the Company determined that only a single performance obligation exists, no allocation of the transaction price is necessary. The upfront payment of $5.0 million was recorded as deferred revenue in the Company’s balance sheet upon receipt and is currently being recognized as revenue on a straight-line basis using an input method over the eight-year contractual term as of June 30, 2019. Total deferred revenue as of June 30, 2019 and December 31, 2018 for CureVac was $4.0 million and $4.4 million, respectively.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4" w:name="page15"/>
    <w:bookmarkEnd w:id="14"/>
    <w:p>
      <w:pPr>
        <w:ind w:right="460"/>
        <w:spacing w:after="0" w:line="282" w:lineRule="auto"/>
        <w:rPr>
          <w:sz w:val="20"/>
          <w:szCs w:val="20"/>
          <w:color w:val="auto"/>
        </w:rPr>
      </w:pPr>
      <w:r>
        <w:rPr>
          <w:rFonts w:ascii="Times New Roman" w:cs="Times New Roman" w:eastAsia="Times New Roman" w:hAnsi="Times New Roman"/>
          <w:sz w:val="18"/>
          <w:szCs w:val="18"/>
          <w:color w:val="auto"/>
        </w:rPr>
        <w:t>Company recognized revenue of $3.4 million and $5.3 million for the three and six months ended June 30, 2019, respectively, and $0.3 million and $0.5 million for the three and six months ended June 30, 2018, respectively. No adjustment was necessary upon adoption of Topic 606.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Collaboration Revenue</w:t>
      </w:r>
    </w:p>
    <w:p>
      <w:pPr>
        <w:spacing w:after="0" w:line="11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recognized total other collaboration revenue of $3.6 million and $4.1 million for the three and six months ended June 30, 2019, respectively, and $0.7 million and $1.2 million for the three and six months ended June 30, 2018, respectively. Of the total other collaboration revenue for the three and six months ended June 30, 2019, $3.3 million and $3.5 million, respectively, was primarily related to the Research and Exclusive License Agreement with Synthetic Genomics, Inc. (“SGI”) into which the Company entered during October 2017. Under the agreement, the Company granted SGI an exclusive license for the Arcturus LMD Technology to research, develop and sell products for diseases excluding all respiratory disease viruses other than influenza. Revenue related to this agreement is made up of labor reimbursements and sublicense revenue. The Company recognized a sublicense revenue amount of $3.3 million for the three months ended June 30, 2019 whereby SGI sublicensed to multiple parties.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jc w:val="both"/>
        <w:ind w:right="120" w:firstLine="518"/>
        <w:spacing w:after="0" w:line="274"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1" w:lineRule="exact"/>
        <w:rPr>
          <w:sz w:val="20"/>
          <w:szCs w:val="20"/>
          <w:color w:val="auto"/>
        </w:rPr>
      </w:pPr>
    </w:p>
    <w:p>
      <w:pPr>
        <w:jc w:val="both"/>
        <w:ind w:right="120"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and December 31, 2018,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June 30, 2019 and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1,659</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1,681</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2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5" w:name="page16"/>
    <w:bookmarkEnd w:id="15"/>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$0.2 million and $0.1 million for the three months ended June 30, 2019 and 2018, respectively, and $0.3 million and $0.3 million for six months ended June 30, 2019 and 2018,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June 30, 2019 and December 31, 2018:</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0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60" w:type="dxa"/>
            <w:vAlign w:val="bottom"/>
            <w:tcBorders>
              <w:bottom w:val="single" w:sz="8" w:color="CFF0FC"/>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Refundable fees received</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with Western Alliance Bank</w:t>
      </w:r>
    </w:p>
    <w:p>
      <w:pPr>
        <w:spacing w:after="0" w:line="119" w:lineRule="exact"/>
        <w:rPr>
          <w:sz w:val="20"/>
          <w:szCs w:val="20"/>
          <w:color w:val="auto"/>
        </w:rPr>
      </w:pPr>
    </w:p>
    <w:p>
      <w:pPr>
        <w:jc w:val="both"/>
        <w:ind w:right="160" w:firstLine="518"/>
        <w:spacing w:after="0" w:line="261" w:lineRule="auto"/>
        <w:rPr>
          <w:sz w:val="20"/>
          <w:szCs w:val="20"/>
          <w:color w:val="auto"/>
        </w:rPr>
      </w:pPr>
      <w:r>
        <w:rPr>
          <w:rFonts w:ascii="Times New Roman" w:cs="Times New Roman" w:eastAsia="Times New Roman" w:hAnsi="Times New Roman"/>
          <w:sz w:val="18"/>
          <w:szCs w:val="18"/>
          <w:color w:val="auto"/>
        </w:rPr>
        <w:t>On October 12, 2018, the Company entered into a Loan and Security Agreement with Western Alliance Bank whereby the Company received gross proceeds of $10.0 million under a long-term debt agreement (the “Loan”). The Loan has a maturity date of October 1, 2022 and carries interest at the U.S. prime rate plus 1.25%. The loan has an interest-only period of 19 months, which could be extended by an additional 6 months if certain conditions are met, followed by an amortization period of 30 months, or 24 months if the interest-only period is extended.</w:t>
      </w:r>
    </w:p>
    <w:p>
      <w:pPr>
        <w:spacing w:after="0" w:line="72"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The Company paid a loan origination fee of $128,000 which was recorded as a debt discount and is being accreted over the term of the Loan. In addition, the Company is required to pay a fee of $350,000 upon certain change of control events.</w:t>
      </w:r>
    </w:p>
    <w:p>
      <w:pPr>
        <w:spacing w:after="0" w:line="5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Upon maturity or prepayment, the Company will be required to pay a 3% fee, or a 2% fee if the U.S. Food and Drug Administration accepts certain Investigational New Drug (“IND”) applications prior to maturity. Because acceptance of an IND is outside of the Company’s control, management estimated that the Company will be liable for a fee of 3% of the principal balance, or $300,000 upon repayment or maturity, and such fee is accreted to the debt balance using the effective interest method over the term of the Loan.</w:t>
      </w:r>
    </w:p>
    <w:p>
      <w:pPr>
        <w:spacing w:after="0" w:line="72"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50% of its deposit and investment accounts, or $20 million, whichever is lower, with Western Alliance Bank.</w:t>
      </w:r>
    </w:p>
    <w:p>
      <w:pPr>
        <w:spacing w:after="0" w:line="7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Loan also includes covenants which include the Company’s (1) nomination of a clinical candidate by December 31, 2018, which the Company is in compliance with, and (2) submission of a clinical candidate for Investigational New Drug application (“IND”), made to the U.S. Food and Drug Administration by December 31, 2019 and have it approved by January 31, 2020, provided that, if the Company has received net cash proceeds from sale, on or after October 12, 2018, of the Company’s equity securities in an amount of not less than $15,000,000, then the IND submission date shall be extended to May 31, 2020 and the approval date shall be extended to June 30, 2020. As a result of the equity purchase by Ultragenyx of 2.4 million shares of common stock (previously discussed at Note 2), the IND submission date and approval date have been extended to May 31, 2020 and June 30, 2020, respectively.</w:t>
      </w:r>
    </w:p>
    <w:p>
      <w:pPr>
        <w:spacing w:after="0" w:line="80"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Should an event of default occur, including the occurrence of a material adverse effect, the Company could be liable for immediate repayment of all obligations under the Loan. As of June 30, 2019, the Company is in compliance with all covenants and conditions of the Loan.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On June 18, 2019, the Company entered into an Equity Purchase Agreement (the “Ultragenyx Agreement”) with Ultragenyx Pharmaceutical Inc. (“Ultragenyx”). Pursuant to the terms of the Ultragenyx Agreement, the Company sold an aggregate of 2,400,000 shares (the “Shares”) of common stock, par value $0.001 per share (“Common Stock”) at a price of $10.00 per share to Ultragenyx on June 19, 2019. Pursuant to the Ultragenyx Agreement, the Company also granted Ultragenyx a two-year option (the “Option”) to purchase up to 600,000 additional shares of Common Stock at a price of $16.00 per share.</w:t>
      </w:r>
    </w:p>
    <w:p>
      <w:pPr>
        <w:spacing w:after="0" w:line="76"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The Option to purchase additional shares of Common Stock may not be exercised if Ultragenyx’s ownership of the Company’s common stock would exceed 19.99% of the Company’s total shares outstanding following such exercise. The option was recorded as a component of stockholders’ equity within additional paid-in capital.</w:t>
      </w:r>
    </w:p>
    <w:p>
      <w:pPr>
        <w:spacing w:after="0" w:line="6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Pursuant to the terms of the Ultragenyx Agreement, until the later of (i) the first anniversary of the closing date or (ii) the date on which Ultragenyx beneficially owns less than 8.0% of the total voting power of the Company, at each annual stockholders meeting or any stockholders meeting at which members of the board of directors (the “Board”) are to be elected, the Company must nominate one director designated by Ultragenyx (the “Ultragenyx Designee”). Additionally, the Ultragenyx Designee has the contractual right to be appointed to all Board committees (subject to applicable NASDAQ rules). Ultragenyx also has the right to have a designee attend Board meetings as a non-voting observer.</w:t>
      </w:r>
    </w:p>
    <w:p>
      <w:pPr>
        <w:spacing w:after="0" w:line="76"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Pursuant to the Ultragenyx Agreement, Ultragenyx agreed to customary standstill provisions and restrictions on transfer of the Shares. The standstill provisions and transfer restrictions last until June 19, 2021, and expire earlier upon the occurrence of certain events set forth in the Ultragenyx Agreement. The Ultragenyx Agreement contains customary representations, warranties and indemnification obligations of the parties.</w:t>
      </w:r>
    </w:p>
    <w:p>
      <w:pPr>
        <w:spacing w:after="0" w:line="6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Ultragenyx Agreement, the Company and Ultragenyx entered into a Registration Rights Agreement (the “Registration Rights Agreement”). The Registration Rights Agreement requires the Company to file a registration statement providing for the resale of the Shares within 180 days of June 18, 2019, and provides Ultragenyx with certain “piggy-back” registration rights with respect to registration statements that the Company may file.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Restricted Common Shares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shares. In 2017, the stock purchase agreements were amended to clarify vesting conditions and also to accelerate the vesting of 146,510 shares resulting in a modification expense of $1,495,000. As of June 30, 2019 and 2018, there were 622,667 shares of common stock unvested and subject to the repurchase option.</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Dilutive securities that were not included in the calculation of diluted net loss per share for the three and six months ended June 30, 2019 as they were anti-dilutive totaled 93,407 and 80,585, respectively, and 81,056 and 87,028 for the three and six months ended June 30, 2018, respectively.</w:t>
      </w:r>
    </w:p>
    <w:p>
      <w:pPr>
        <w:spacing w:after="0" w:line="54"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2019 and 2018, the calculation of the weighted-average number of shares outstanding excludes unvested restricted shares of common stock of 622,667.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are 39,912 shares available for future issuance under the 2013 Plan at June 30, 2019. As discussed in the next paragraph, the 2013 Plan was assumed by the 2010 Plan and no additional shares will be issued under the 2013 Plan.</w:t>
      </w:r>
    </w:p>
    <w:p>
      <w:pPr>
        <w:spacing w:after="0" w:line="8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share split in conjunction with the merger. Options granted under the 2010 Plan generally expire ten years from the date of grant. Upon merger, the 2013 Plan was assumed by the 2010 Plan. The Company generally issues new shares upon option exercise. There were 131,091 shares available for future issuance under the 2010 Plan as of June 30, 2019; however, the Company will not issue additional shares under the 2010 Plan.</w:t>
      </w:r>
    </w:p>
    <w:p>
      <w:pPr>
        <w:spacing w:after="0" w:line="8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In August 2018, the Company adopted the 2018 Omnibus Equity Incentive Plan (“2018 Plan”). Under the 2018 Plan, the Company is authorized to issue up to a maximum of 1,100,000 shares of common stock pursuant to the exercise of incentive stock options or other awards provided for therein. As of June 2019, the Company issued a certain number of options to purchase common stock to a group of employees as well as options to purchase a total of 243,750 shares of common stock to certain executives. The Company also issued options to purchase a total of 130,000 shares of common stock to the non-executive members of the Company’s board of directors. As of June 30, 2019, there were 220,250 shares available for future issuance under the 2018 Plan. In June 2019, the Company adopted the 2019 Omnibus Equity Incentive Plan (“2019 Plan”), which is expected to be ratified by the Company at its next annual meeting. Under the 2019 Plan, the Company is authorized to issue up to a maximum of 2,600,000 shares of common stock pursuant to the exercise of incentive stock options or other awards provided for therein. In connection with the Redomiciliation, all outstanding options to purchase shares in Arcturus Israel under the above described plans were exchanged for an option to purchase the same number of shares of the Company’s common stock under the 2019 Plan. The Company does not intend to issue new options under the 2019 Plan until the 2019 is ratified by stockholders. Accordingly, as of June 30, 2019, there were 1,199,891 shares are available for future issuance under the 2019 Plan. Prior to the Redomiciliation, Arcturus Israel approved grants of options to purchase 160,000 shares to the Chief Executive Officer and Chief Financial Officer under the 2018 Plan. These grants were previously approved subject to approval of the shareholders of Arcturus Israel. The grants will be effective upon stockholder ratification of the 2019 Plan.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in the Black-Scholes valuation model by the Company in calculating the fair value of stock options granted: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75.6</w:t>
            </w: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weighted average fair value</w:t>
            </w:r>
          </w:p>
        </w:tc>
        <w:tc>
          <w:tcPr>
            <w:tcW w:w="170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4.76</w:t>
            </w:r>
          </w:p>
        </w:tc>
        <w:tc>
          <w:tcPr>
            <w:tcW w:w="10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2019:</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1,184,433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(69,501)</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June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 June 30, 2019</w:t>
            </w: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and expected to vest - June 30,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1,240,109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60" w:hanging="512"/>
        <w:spacing w:after="0" w:line="262"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options granted during the first six-month period of 2019 excludes 160,000 options when granted were subject to stockholder approval pertaining to the Chief Executive Officer and Chief Financial Officer.</w:t>
      </w:r>
    </w:p>
    <w:p>
      <w:pPr>
        <w:spacing w:after="0" w:line="5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At June 30, 2019, the total unrecognized compensation cost of $4.2 million will be recognized over the weighted-average remaining service period of approximately 2.9 years. The fair value of the options vested during the six months ended June 30, 2019 was $0.6 million.</w:t>
      </w:r>
    </w:p>
    <w:p>
      <w:pPr>
        <w:spacing w:after="0" w:line="54"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Company’s condensed statements of operations and comprehensive loss for the three and six months ended June 30, 2019 and 2018 were:</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560" w:firstLine="518"/>
        <w:spacing w:after="0" w:line="282" w:lineRule="auto"/>
        <w:rPr>
          <w:sz w:val="20"/>
          <w:szCs w:val="20"/>
          <w:color w:val="auto"/>
        </w:rPr>
      </w:pPr>
      <w:r>
        <w:rPr>
          <w:rFonts w:ascii="Times New Roman" w:cs="Times New Roman" w:eastAsia="Times New Roman" w:hAnsi="Times New Roman"/>
          <w:sz w:val="18"/>
          <w:szCs w:val="18"/>
          <w:color w:val="auto"/>
        </w:rPr>
        <w:t>Share-based compensation expense for the three and six months ended June 30, 2019 excludes expense related to options granted to the Chief Executive Officer and Chief Financial Officer as the option grants are subject to shareholder approval.</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of six years.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8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the payments of the operating lease liability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Remaining Lease Payments</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536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$0.3 million and $0.6 million for the three and six months ended June 30,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 Party Transactions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Ultragenyx</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On June 17, 2019, Arcturus and Ultragenyx executed Amendment 3. In addition, as a result of the Ultragenyx Agreement, Ultragenyx owns 18.3% of the outstanding common stock of the Company as of June 30, 2019. For the three and six months ended June 30, 2019, the Company has recognized revenue of $2.5 million and $3.9 million, respectively, and for the three and six months ended June 30, 2018, the Company recognized revenue of $1.2 million and $2.7 million. As of June 30, 2019 and 2018, the Company holds accounts receivable balances of a negligible amount and $0.4 million, respectively. (Note 2)</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Providence</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March 2016, the Company entered into a Research Collaboration and License Agreement with a related party, Providence, whose CEO and President is also a shareholder of the Company, to identify and optimize microRNA modulators or mimetics for the treatment of neoplastic diseases. In April 2017, the Providence Agreement was amended to include mRNA for the treatment of neoplastic disease. In July 2018, the Providence Agreement was amended and restated to cover brain neoplasms, breast neoplasms and ovarian neoplasms. Each party is responsible for their own research costs under the agreement, and Providence is responsible for all development costs through the completion of Phase 2 clinical trials. The Company is entitled to share in future product revenue of each product provided the Company shares in the product’s post Phase 2 costs. Separately, Providence has agreed to pay for FTEs at a specified rate. For the three and six months ended June 30, 2019, the Company has recognized revenue of a negligible amount and $0.3 million, respectively, and for the three and six months ended June 30, 2018, the Company has recognized revenue of a negligible amount and $0.1 million, respectively.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i w:val="1"/>
          <w:iCs w:val="1"/>
          <w:color w:val="auto"/>
        </w:rPr>
        <w:t>Equity-Method Investment</w:t>
      </w:r>
    </w:p>
    <w:p>
      <w:pPr>
        <w:spacing w:after="0" w:line="11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June 2018,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As this ownership interest is greater than 20% and one executive of the Company holds a seat on the investee’s board of directors, the Company has the ability to exercise significant influence over the operating and financial policies of this investee; therefore, the Company accounts for this investment as an equity-method investment. The Company has no requirement to invest further in this private company. The Company has recorded $0.6 million of its share of losses of the investee leaving no equity investment balance as of June 30,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CureVac</w:t>
      </w:r>
    </w:p>
    <w:p>
      <w:pPr>
        <w:spacing w:after="0" w:line="119"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On July 26, 2019 Arcturus Therapeutics, Inc. (“Arcturus”), a subsidiary of the Company, entered into an amendment (the “CureVac Amendment”) to its Development and Option Agreement, as amended (the “Development and Option Agreement”), with CureVac AG (“CureVac”), pursuant to which Arcturus and CureVac agreed to (a) modify the time period during which CureVac may select potential targets to be licensed from the Company pursuant to the terms of the Development and Option Agreement, (b) reduce the overall number of maximum targets to be reserved and licensed from fifteen (15) to ten</w:t>
      </w:r>
    </w:p>
    <w:p>
      <w:pPr>
        <w:spacing w:after="0" w:line="3" w:lineRule="exact"/>
        <w:rPr>
          <w:sz w:val="20"/>
          <w:szCs w:val="20"/>
          <w:color w:val="auto"/>
        </w:rPr>
      </w:pPr>
    </w:p>
    <w:p>
      <w:pPr>
        <w:jc w:val="both"/>
        <w:ind w:right="660" w:firstLine="8"/>
        <w:spacing w:after="0" w:line="255"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(c) simplify the process for selecting and reserving targets, (d) define conditions under which targets can be pre-restricted by Arcturus in connection with its own research and development activities and (e) restore CureVac’s original obligations with respect to the funding of scientists at Arcturus.</w:t>
      </w:r>
    </w:p>
    <w:p>
      <w:pPr>
        <w:spacing w:after="0" w:line="78"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CureVac Amendment, on July 26, 2019, Arcturus and CureVac also entered into a Termination Agreement (the “Termination Agreement”) terminating the Co-Development and Co-Commercialization Agreement (the “Co-Development Agreement”) between the Company and CureVac dated as of January 1, 2018. The Termination Agreement is effective as of July 26, 2019.</w:t>
      </w:r>
    </w:p>
    <w:p>
      <w:pPr>
        <w:spacing w:after="0" w:line="6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Pursuant to the Termination Agreement, CureVac agreed to make a one-time payment to Arcturus in the amount of $4,000,000 in consideration for such termination, including payments in connection with CureVac’s termination of co-development of ARCT-810 as a therapy for ornithine transcarbamylase (OTC) deficiency. The payment was collected during July 2019. The Termination Agreement includes a customary mutual release and a mutual non-disparagement clause and provides for the survival of the confidentiality provisions in the Co-Development Agreement.</w:t>
      </w:r>
    </w:p>
    <w:p>
      <w:pPr>
        <w:spacing w:after="0" w:line="7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CureVac Amendment and the Termination Agreement does not purport to be complete and is qualified in its entirety by reference to the CureVac Amendment, a copy of which is filed hereto as Exhibit 10.20, and the Termination Amendment, a copy of which is filed hereto as Exhibit 10.21.</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Cystic Fibrosis Foundation</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On August 1, 2019, Arcturus Therapeutics, Inc. (“Arcturus Sub”), a subsidiary of the Company, entered into an amendment (the “CFF Amendment”) to its Development Program Letter Agreement of May 16, 2017, as amended by Amendment No. 1 dated July 13, 2018 (the “Underlying Agreement”) with the Cystic Fibrosis Foundation (“CFF”), pursuant to which Arcturus Sub and CFF agreed to: (a) increase the Amount of Award (as defined in the Underlying Agreement) from CFF to advance LUNAR-CF to $15.0 million from approximately $3.2 million, require Arcturus Sub to provide $5.0 million in matching funds for remaining budgeted costs, and modify the disbursement schedule from CFF to Arcturus related thereto such that (i) $4.0 million will be disbursed upon execution of the CFF Amendment, (ii) $2.0 million will be disbursed within 30 days of the first day of each of January, April, July and October 2020 upon Arcturus invoicing CFF to meet project goals, and (iii) the last payment of $3.0 million less the prior award previously paid out, equaling approximately $2.1 million, will be disbursed upon Arcturus Sub invoicing CFF to meet good manufacturing practices and opening an IND application; (b) replace the existing royalties due to CFF under the Underlying Agreement with specified royalties expressed as a percentage of net sales, subject to specified royalty caps expressed as a multiple of the Actual Award (as defined in the CFF Amendment) and expiration of the royalties upon specified time limitations or patent or exclusivity expiration, among other limitations and exclusions; (c) define conditions under which Arcturus Sub shall pay to CFF disposition payments in the event of a Disposition Transaction (as defined in the CFF Amendment), including a license, sale or other transfer of a Covered Product or Arcturus Development Program Technology (excluding Net Sales) or a Change of Control Transaction; (d) provide a termination right to CFF; and (e) make corresponding changes to exhibits, definitions and other provisions of the Underlying Agreement consistent with the Amendment, including the replacement of references to Cystic Fibrosis Foundation Therapeutics, Inc. with CFF to reflect the prior assignment of the Underlying Agreement to CFF.</w:t>
      </w:r>
    </w:p>
    <w:p>
      <w:pPr>
        <w:spacing w:after="0" w:line="8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CFF Amendment does not purport to be complete and is qualified in its entirety by reference to the CFF Amendment, a copy of which is filed hereto as Exhibit 10.16.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Registered Direct Offerings</w:t>
      </w:r>
    </w:p>
    <w:p>
      <w:pPr>
        <w:spacing w:after="0" w:line="11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July 26, 2019, the Company entered into an engagement letter (the “Letter Agreement”) with H.C. Wainwright &amp; Co., LLC (the “Placement Agent”) relating to the Company’s registered direct offering of common stock (the “Offering”) to certain institutional investors (the “Investors”). Roth Capital Partners, LLC and Ladenburg Thalmann &amp; Co. Inc. acted as financial advisors for the transaction. Pursuant to the Letter Agreement, the Company agreed to pay the Placement Agent a cash fee of 6.0% of the gross proceeds from the Offering raised from Investors and up to $75,000 for expenses.</w:t>
      </w:r>
    </w:p>
    <w:p>
      <w:pPr>
        <w:spacing w:after="0" w:line="7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addition, on August 1, 2019 and August 2, 2019, the Company and the Investors entered into securities purchase agreements relating to the issuance and sale of shares of common stock. The purchase price per share for each share offered to the Investors is $11.50. The aggregate gross proceeds of the Offering were $13.2 million, for the sale in the aggregate of 1,145,653 shares of common stock.</w:t>
      </w:r>
    </w:p>
    <w:p>
      <w:pPr>
        <w:spacing w:after="0" w:line="68"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The net proceeds to the Company from the Offering, after deducting Placement Agent fees and the Company’s estimated offering expenses, are expected to be approximately $12.2 million. The Offering closed on August 5, 2019.</w:t>
      </w:r>
    </w:p>
    <w:p>
      <w:pPr>
        <w:spacing w:after="0" w:line="5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offer and sale of the common stock was registered under the Securities Act of 1933, as amended (the “Securities Act”), on the Company’s Registration Statement on Form S-3 (Registration No. 333-232281), previously filed with the Securities and Exchange Commission and declared effective on July 29,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18"/>
        <w:spacing w:after="0" w:line="219" w:lineRule="exact"/>
        <w:rPr>
          <w:sz w:val="20"/>
          <w:szCs w:val="20"/>
          <w:color w:val="auto"/>
        </w:rPr>
      </w:pPr>
      <w:r>
        <w:rPr>
          <w:rFonts w:ascii="Times New Roman" w:cs="Times New Roman" w:eastAsia="Times New Roman" w:hAnsi="Times New Roman"/>
          <w:sz w:val="18"/>
          <w:szCs w:val="18"/>
          <w:i w:val="1"/>
          <w:iCs w:val="1"/>
          <w:color w:val="auto"/>
        </w:rPr>
        <w:t>The following is a discussion of the financial condition and results of operations of Arcturus Therapeutics Holdings Inc. for the three and six-month periods ended June 30, 2019. Unless otherwise specified herein, references to the “Company,” “Arcturus,” “we,” “our” and “us” mean Arcturus Therapeutics Holdings Inc and its consolidated subsidiaries from and after the effective time of the Redomiciliation and, prior to that time, to our predecessor, Arcturus Therapeutics Ltd.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the year ended December 31, 2018 (the “2018 Annual Report”), which was filed with the U.S. Securities and Exchange Commission (the “Commission”) on March 18, 2019 and amended on April 10, 2019. Unless otherwise defined herein, capitalized words and expressions used herein shall have the same meanings ascribed to them in the 2018 Annual Report.</w:t>
      </w:r>
    </w:p>
    <w:p>
      <w:pPr>
        <w:spacing w:after="0" w:line="91" w:lineRule="exact"/>
        <w:rPr>
          <w:sz w:val="20"/>
          <w:szCs w:val="20"/>
          <w:color w:val="auto"/>
        </w:rPr>
      </w:pPr>
    </w:p>
    <w:p>
      <w:pPr>
        <w:ind w:right="2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6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Arcturus is the successor to Arcturus Israel. Following the Redomiciliation on June 17, 2019, Arcturus became the ultimate parent company of Arcturus Israel.</w:t>
      </w:r>
    </w:p>
    <w:p>
      <w:pPr>
        <w:spacing w:after="0" w:line="5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Arcturus is an emerging RNA medicines company focused on the development and commercialization of therapeutics directed towards rare, infectious, fibrotic, and respiratory diseases with significant unmet medical need. The genetic medicines industry is constantly struggling to identify non-viral delivery solutions for large RNA molecules to different cell types. Arcturus’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76"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June 30, 2019, we had an accumulated deficit of $53.2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Our products that are being developed have not generated significant revenue. As a result, we have suffered recurring losses and significant cash resources will be required to execute our business plans. These losses are expected to continue for an extended period of time.</w:t>
      </w:r>
    </w:p>
    <w:p>
      <w:pPr>
        <w:spacing w:after="0" w:line="5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Historically, our major sources of cash have comprised proceeds from collaboration partners, various public and private offerings of our common stock, option and warrant exercises, and interest income. From inception through June 2019, we raised approximately $170.3 million in gross proceeds from various public and private offerings of our common stock, debt issuances, collaboration agreements, and the merger with Alcobra. In July of 2019, we raised $30 million through execution of an amended collaboration agreement and an equity purchase agreement with Ultragenyx.</w:t>
      </w:r>
    </w:p>
    <w:p>
      <w:pPr>
        <w:spacing w:after="0" w:line="72"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2019, we had approximately $55.9 million in cash, restricted cash and cash equivalents. Our plans to mitigate an expected shortfall of capital, to support future operations, include raising additional funds. The actual amount of cash that we will need to operate is subject to many factors. After June 30, 2019, the Company raised additional capital in excess of $17.0 million, including proceeds from the Offerings in excess of $13.0 million and a one-time payment to Arcturus in the amount of $4.0 million. See </w:t>
      </w:r>
      <w:r>
        <w:rPr>
          <w:rFonts w:ascii="Times New Roman" w:cs="Times New Roman" w:eastAsia="Times New Roman" w:hAnsi="Times New Roman"/>
          <w:sz w:val="18"/>
          <w:szCs w:val="18"/>
          <w:i w:val="1"/>
          <w:iCs w:val="1"/>
          <w:color w:val="auto"/>
        </w:rPr>
        <w:t>“Note 10. Subsequent Events”</w:t>
      </w:r>
      <w:r>
        <w:rPr>
          <w:rFonts w:ascii="Times New Roman" w:cs="Times New Roman" w:eastAsia="Times New Roman" w:hAnsi="Times New Roman"/>
          <w:sz w:val="18"/>
          <w:szCs w:val="18"/>
          <w:color w:val="auto"/>
        </w:rPr>
        <w:t xml:space="preserve"> for further information.</w:t>
      </w:r>
    </w:p>
    <w:p>
      <w:pPr>
        <w:spacing w:after="0" w:line="7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Based on our planned operations, we expect that our current cash and cash equivalents balances, inclusive of the August 2019 financing, will be sufficient to fund our operations for at least 12 months after the date the condensed consolidated financial statements are filed without raising additional capital through equity or debt financing.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 w:name="page24"/>
    <w:bookmarkEnd w:id="23"/>
    <w:p>
      <w:pPr>
        <w:ind w:firstLine="518"/>
        <w:spacing w:after="0" w:line="266" w:lineRule="auto"/>
        <w:rPr>
          <w:sz w:val="20"/>
          <w:szCs w:val="20"/>
          <w:color w:val="auto"/>
        </w:rPr>
      </w:pPr>
      <w:r>
        <w:rPr>
          <w:rFonts w:ascii="Times New Roman" w:cs="Times New Roman" w:eastAsia="Times New Roman" w:hAnsi="Times New Roman"/>
          <w:sz w:val="18"/>
          <w:szCs w:val="18"/>
          <w:color w:val="auto"/>
        </w:rPr>
        <w:t>We also recognize that we will need to raise additional capital in order to continue to execute our business plan in the future. There is no assurance that additional financing will be available when needed, that we will be able to obtain financing on terms acceptable to us, or that we will become profitable and generate positive operating cash flow. If we are unable to raise sufficient additional funds, we will have to scale back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320" w:firstLine="518"/>
        <w:spacing w:after="0" w:line="298" w:lineRule="auto"/>
        <w:rPr>
          <w:sz w:val="20"/>
          <w:szCs w:val="20"/>
          <w:color w:val="auto"/>
        </w:rPr>
      </w:pPr>
      <w:r>
        <w:rPr>
          <w:rFonts w:ascii="Times New Roman" w:cs="Times New Roman" w:eastAsia="Times New Roman" w:hAnsi="Times New Roman"/>
          <w:sz w:val="18"/>
          <w:szCs w:val="18"/>
          <w:color w:val="auto"/>
        </w:rPr>
        <w:t>Since our inception, we have funded our operations principally with proceeds from the sale of capital stock, convertible notes and revenues earned through collaborative agreements. At June 30, 2019, we had $55.8 million in unrestricted cash and cash equivalents.</w:t>
      </w:r>
    </w:p>
    <w:p>
      <w:pPr>
        <w:spacing w:after="0" w:line="4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To support our long-term plans, we intend to seek additional capital through equity 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76"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If we are unable to maintain sufficient financial resources, our business, financial condition and results of operations will be materially and adversely affected. There can be no assurance that we will be able to obtain the needed financing on acceptable terms or at all. Additionally, equity or debt financings may have a dilutive effect on the holdings of our existing shareholders.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2019 and 2018 (in thousands):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60" w:type="dxa"/>
            <w:vAlign w:val="bottom"/>
          </w:tcPr>
          <w:p>
            <w:pPr>
              <w:spacing w:after="0"/>
              <w:rPr>
                <w:sz w:val="19"/>
                <w:szCs w:val="19"/>
                <w:color w:val="auto"/>
              </w:rPr>
            </w:pPr>
          </w:p>
        </w:tc>
        <w:tc>
          <w:tcPr>
            <w:tcW w:w="860" w:type="dxa"/>
            <w:vAlign w:val="bottom"/>
            <w:gridSpan w:val="2"/>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(8,202)</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mainly of research and development expenditures and general and administrative expenditures. We have incurred significant losses which have been partially offset by cash collected through our collaboration agreements and acquired through our 2017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8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$3.9 million on a net loss of $7.6 million for the six months ended June 30, 2019, compared to net cash used of $8.2 million on a net loss of $16.5 million for the six months ended June 30, 2018. Adjustments for non-cash charges, including share-based compensation, depreciation and amortization, interest expense and loss from equity-method investment were $1.5 million and $0.4 million for the six months ended June 30, 2019 and 2018, respectively. Changes in working capital resulted in adjustments to operating net cash inflows of $9.6 million and $7.9 million for the six months ended June 30, 2019 and 2018, respectively, and were primarily driven by increases in deferred revenue and accounts payable partly offset by increases in accounts receivable and prepaid expenses for the six months ended June 30,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$0.3 million for the six months ended June 30, 2019 reflected cash used to purchase property and equipment. Net cash provided by investing activities of $12.0 million for the six months ended June 30, 2018 reflected proceeds of the maturities of our short-term investments of $22.3 million, offset by purchases of short-term investments of $9.2 million, and cash used to purchase property and equipment of $1.0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2019 reflected proceeds from the issuance of common stock and the exercise of stock options of $15.5 million. Net cash provided by financing activities for the six months ended June 30, 2018 consisted of net proceeds from the exercise of share options of $0.4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2018. Our historical results of operations and the year-to-year comparisons of our results of operations that follow are not necessarily indicative of future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23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52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10,153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than 100%</w:t>
      </w:r>
    </w:p>
    <w:p>
      <w:pPr>
        <w:spacing w:after="0" w:line="11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Collaboration revenue increased by $7.8 million during the three months ended June 30, 2019 as compared to the three months ended June 30, 2018. The increase in collaboration revenue primarily relates to increased revenue of $7.5 million recognized upon the execution of Amendment 3 with Ultragenyx, increased revenue associated with CureVac for revenue that was previously constrained under ASC 606 and recognizing sublicense revenue from SGI. Additional increases in collaboration revenue relates to $0.4 million for ramping up activity with Janssen partly offset by $0.1 million for reducing activity from other programs.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14,503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than 100%</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5" w:name="page26"/>
    <w:bookmarkEnd w:id="25"/>
    <w:p>
      <w:pPr>
        <w:ind w:right="120" w:firstLine="518"/>
        <w:spacing w:after="0" w:line="257" w:lineRule="auto"/>
        <w:rPr>
          <w:sz w:val="20"/>
          <w:szCs w:val="20"/>
          <w:color w:val="auto"/>
        </w:rPr>
      </w:pPr>
      <w:r>
        <w:rPr>
          <w:rFonts w:ascii="Times New Roman" w:cs="Times New Roman" w:eastAsia="Times New Roman" w:hAnsi="Times New Roman"/>
          <w:sz w:val="18"/>
          <w:szCs w:val="18"/>
          <w:color w:val="auto"/>
        </w:rPr>
        <w:t>Collaboration revenue increased by $9.8 million during the six months ended June 30, 2019 as compared to the six months ended June 30, 2018. The increase in collaboration revenue primarily relates to increased revenue of $9.1 million recognized upon execution of Amendment 3 with Ultragenyx, increased revenue associated with CureVac for revenue that was previously constrained under ASC 606 and recognizing sublicense revenue from</w:t>
      </w:r>
    </w:p>
    <w:p>
      <w:pPr>
        <w:spacing w:after="0" w:line="2" w:lineRule="exact"/>
        <w:rPr>
          <w:sz w:val="20"/>
          <w:szCs w:val="20"/>
          <w:color w:val="auto"/>
        </w:rPr>
      </w:pPr>
    </w:p>
    <w:p>
      <w:pPr>
        <w:ind w:right="1140"/>
        <w:spacing w:after="0" w:line="261" w:lineRule="auto"/>
        <w:rPr>
          <w:sz w:val="20"/>
          <w:szCs w:val="20"/>
          <w:color w:val="auto"/>
        </w:rPr>
      </w:pPr>
      <w:r>
        <w:rPr>
          <w:rFonts w:ascii="Times New Roman" w:cs="Times New Roman" w:eastAsia="Times New Roman" w:hAnsi="Times New Roman"/>
          <w:sz w:val="18"/>
          <w:szCs w:val="18"/>
          <w:color w:val="auto"/>
        </w:rPr>
        <w:t>SGI. Additional increases in collaboration revenue of $1.0 million relates to ramping up activity with Janssen and a one-time increase in labor reimbursements from Providence partly offset by $0.3 million for reducing activity from other programs.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20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0" w:type="dxa"/>
            <w:vAlign w:val="bottom"/>
          </w:tcPr>
          <w:p>
            <w:pPr>
              <w:spacing w:after="0"/>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Borders>
              <w:top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(4,777)</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(6,341)</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0" w:type="dxa"/>
            <w:vAlign w:val="bottom"/>
          </w:tcPr>
          <w:p>
            <w:pPr>
              <w:spacing w:after="0"/>
              <w:rPr>
                <w:sz w:val="1"/>
                <w:szCs w:val="1"/>
                <w:color w:val="auto"/>
              </w:rPr>
            </w:pPr>
          </w:p>
        </w:tc>
      </w:tr>
      <w:tr>
        <w:trPr>
          <w:trHeight w:val="156"/>
        </w:trPr>
        <w:tc>
          <w:tcPr>
            <w:tcW w:w="2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External pipeline development expenses:</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LUNAR-OTC (ARCT-810)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2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LUNAR-CF, net</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Discovery technologies</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2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External platform development expenses:</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Partnered discovery technologies</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2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56"/>
        </w:trPr>
        <w:tc>
          <w:tcPr>
            <w:tcW w:w="29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 development expenses</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4,077</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2,356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1,721</w:t>
            </w:r>
          </w:p>
        </w:tc>
        <w:tc>
          <w:tcPr>
            <w:tcW w:w="2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CFF0FC"/>
            </w:tcBorders>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73.0%</w:t>
            </w: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8,901</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4,717</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4,184</w:t>
            </w:r>
          </w:p>
        </w:tc>
        <w:tc>
          <w:tcPr>
            <w:tcW w:w="22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CFF0FC"/>
            </w:tcBorders>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56"/>
        </w:trPr>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Personnel related expenses</w:t>
            </w:r>
          </w:p>
        </w:tc>
        <w:tc>
          <w:tcPr>
            <w:tcW w:w="10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2,445</w:t>
            </w:r>
          </w:p>
        </w:tc>
        <w:tc>
          <w:tcPr>
            <w:tcW w:w="2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1,467</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978</w:t>
            </w:r>
          </w:p>
        </w:tc>
        <w:tc>
          <w:tcPr>
            <w:tcW w:w="20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66.7%</w:t>
            </w:r>
          </w:p>
        </w:tc>
        <w:tc>
          <w:tcPr>
            <w:tcW w:w="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4,524</w:t>
            </w:r>
          </w:p>
        </w:tc>
        <w:tc>
          <w:tcPr>
            <w:tcW w:w="20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2,800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1,724</w:t>
            </w:r>
          </w:p>
        </w:tc>
        <w:tc>
          <w:tcPr>
            <w:tcW w:w="22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62"/>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Facilities and equipment expenses</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85.8%</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20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Total research and development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80" w:type="dxa"/>
            <w:vAlign w:val="bottom"/>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220" w:type="dxa"/>
            <w:vAlign w:val="bottom"/>
            <w:vMerge w:val="restart"/>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200" w:type="dxa"/>
            <w:vAlign w:val="bottom"/>
          </w:tcPr>
          <w:p>
            <w:pPr>
              <w:spacing w:after="0"/>
              <w:rPr>
                <w:sz w:val="11"/>
                <w:szCs w:val="11"/>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72.0%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14,593</w:t>
            </w:r>
          </w:p>
        </w:tc>
        <w:tc>
          <w:tcPr>
            <w:tcW w:w="20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200" w:type="dxa"/>
            <w:vAlign w:val="bottom"/>
          </w:tcPr>
          <w:p>
            <w:pPr>
              <w:spacing w:after="0"/>
              <w:rPr>
                <w:sz w:val="11"/>
                <w:szCs w:val="11"/>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220" w:type="dxa"/>
            <w:vAlign w:val="bottom"/>
          </w:tcPr>
          <w:p>
            <w:pPr>
              <w:spacing w:after="0"/>
              <w:rPr>
                <w:sz w:val="11"/>
                <w:szCs w:val="11"/>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expenses, net</w:t>
            </w:r>
          </w:p>
        </w:tc>
        <w:tc>
          <w:tcPr>
            <w:tcW w:w="1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than 100%</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21"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development expenses consist primarily of external manufacturing costs, in-vivo research studies performed by contract research organizations, clinical and regulatory consultants, and laboratory supplies related to conducting research and development activities.</w:t>
      </w:r>
    </w:p>
    <w:p>
      <w:pPr>
        <w:spacing w:after="0" w:line="54"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Our LUNAR-OTC (ARCT-810) program is expected to achieve IND submission by early 2020. We expect that the program costs will continue to increase as was the case during the three and six-month periods, whereby the programs costs increased by $1.4 million and $4.5 million for the three and six months ended June 30, 2019 as compared to 2018, respectively.</w:t>
      </w:r>
    </w:p>
    <w:p>
      <w:pPr>
        <w:spacing w:after="0" w:line="6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Our Lunar-CF program during the 2017 and 2018 previously reported periods was primarily funded by our Company. As a result of the new CF agreement that was executed during July 2019, we expect that our development efforts and our portion of the costs will increase as we move towards the IND submission expected in late 2020. During the three and six months ended June 30, 2018 as compared to 2017, our costs increased in this program by $0.1 million and $0.4 million, respectively.</w:t>
      </w:r>
    </w:p>
    <w:p>
      <w:pPr>
        <w:spacing w:after="0" w:line="7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Discovery technologies represents our efforts to expand our product pipeline and are expected to continually increase over the near future. During the three months ended June 30, 2019 as compared to 2018, our costs increased by $0.4 million as we focused our efforts on the discovery and development of our next programs. For the six months ended June 30, 2019 as compared to 2018, our expenditures were relatively flat.</w:t>
      </w:r>
    </w:p>
    <w:p>
      <w:pPr>
        <w:spacing w:after="0" w:line="6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Within our platform development expenses, our partnered discovery expenses with our current partners are expected to fluctuate based on the needs of our collaboration partners. During the three and six months ended June 30, 2019 as compared to 2018, the expenses were lower by $0.2 million and $0.5 million, respectively, as a result of the stage of the collaboration partners.</w:t>
      </w:r>
    </w:p>
    <w:p>
      <w:pPr>
        <w:spacing w:after="0" w:line="68"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Personnel related expenses increased by $1.0 million and $1.7 million during the three and six months ended June 30, 2019 and 2018, respectively, associated with increased headcount necessary to advance our external pipeline and platform efforts. We expect to continue to expand our headcount as required to meet our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right="1060" w:firstLine="518"/>
        <w:spacing w:after="0" w:line="313" w:lineRule="auto"/>
        <w:rPr>
          <w:sz w:val="20"/>
          <w:szCs w:val="20"/>
          <w:color w:val="auto"/>
        </w:rPr>
      </w:pPr>
      <w:r>
        <w:rPr>
          <w:rFonts w:ascii="Times New Roman" w:cs="Times New Roman" w:eastAsia="Times New Roman" w:hAnsi="Times New Roman"/>
          <w:sz w:val="17"/>
          <w:szCs w:val="17"/>
          <w:color w:val="auto"/>
        </w:rPr>
        <w:t>Facilities and equipment expenses increased by $0.3 million and $0.5 million during the three and six months ended June 30, 2019 and 2018, respectively, primarily as a result of higher rent and related costs associated with our new headquarters that we entered during early 2018.</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5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of $4.8 million for the three months ended June 30, 2019 as compared to the three months ended June 30, 2018 was due to the substantial costs incurred during the three months ended June 30, 2018 of $4.9 million related to the proxy contest which was partly offset by an increase in facility related expenses of $0.1 million.</w:t>
      </w:r>
    </w:p>
    <w:p>
      <w:pPr>
        <w:spacing w:after="0" w:line="6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of $6.3 million for the six months ended June 30, 2019 as compared to the six months ended June 30, 2018 was due to substantial costs incurred of $7.3 million related to proxy contest during fiscal year 2018 which was partly offset by $0.2 million of facilities related expenses, $0.3 million of redomiciliation related expenses and $0.5 million of personnel related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 income,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2018 to 2019</w:t>
            </w:r>
          </w:p>
        </w:tc>
        <w:tc>
          <w:tcPr>
            <w:tcW w:w="80" w:type="dxa"/>
            <w:vAlign w:val="bottom"/>
          </w:tcPr>
          <w:p>
            <w:pPr>
              <w:spacing w:after="0"/>
              <w:rPr>
                <w:sz w:val="15"/>
                <w:szCs w:val="15"/>
                <w:color w:val="auto"/>
              </w:rPr>
            </w:pPr>
          </w:p>
        </w:tc>
        <w:tc>
          <w:tcPr>
            <w:tcW w:w="20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(expense) income, net: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than 100%</w:t>
      </w:r>
    </w:p>
    <w:p>
      <w:pPr>
        <w:spacing w:after="0" w:line="102"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Interest income is generated on cash and cash equivalents. Interest expense was incurred in conjunction with our long-term debt agreement which was executed during the fourth quarter of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2018.</w:t>
      </w:r>
    </w:p>
    <w:p>
      <w:pPr>
        <w:spacing w:after="0" w:line="76" w:lineRule="exact"/>
        <w:rPr>
          <w:sz w:val="20"/>
          <w:szCs w:val="20"/>
          <w:color w:val="auto"/>
        </w:rPr>
      </w:pPr>
    </w:p>
    <w:p>
      <w:pPr>
        <w:ind w:right="180" w:firstLine="518"/>
        <w:spacing w:after="0" w:line="313" w:lineRule="auto"/>
        <w:rPr>
          <w:sz w:val="20"/>
          <w:szCs w:val="20"/>
          <w:color w:val="auto"/>
        </w:rPr>
      </w:pPr>
      <w:r>
        <w:rPr>
          <w:rFonts w:ascii="Times New Roman" w:cs="Times New Roman" w:eastAsia="Times New Roman" w:hAnsi="Times New Roman"/>
          <w:sz w:val="18"/>
          <w:szCs w:val="18"/>
          <w:color w:val="auto"/>
        </w:rPr>
        <w:t>The following are our significant accounting policies which we believe are the most critical to aid in fully understanding and evaluating our reported financial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w:t>
      </w:r>
      <w:r>
        <w:rPr>
          <w:rFonts w:ascii="Times New Roman" w:cs="Times New Roman" w:eastAsia="Times New Roman" w:hAnsi="Times New Roman"/>
          <w:sz w:val="18"/>
          <w:szCs w:val="18"/>
          <w:i w:val="1"/>
          <w:iCs w:val="1"/>
          <w:color w:val="auto"/>
        </w:rPr>
        <w:t>ASU 2014-09, Revenue from Contracts with Customers (Topic 606)</w:t>
      </w:r>
      <w:r>
        <w:rPr>
          <w:rFonts w:ascii="Times New Roman" w:cs="Times New Roman" w:eastAsia="Times New Roman" w:hAnsi="Times New Roman"/>
          <w:sz w:val="18"/>
          <w:szCs w:val="18"/>
          <w:color w:val="auto"/>
        </w:rPr>
        <w:t>, or Topic 606, using the modified retrospective transition method. Topic 606 provides a unified model to determine how revenue is recognized. We determine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74"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terms of our collaborative research and development agreements include license fees, upfront payments, milestone payments when and if certain research or technology transfer milestones are achieved, development milestones and reimbursement for research and development activities, option exercise fees, other contingent payments for the achievement of defined collaboration objectives and certain preclinical, clinical, regulatory and sales-based events, as well as royalties on sales of commercialized products. Arrangements that include upfront payments are recorded as deferred revenue upon receipt or when due and may require deferral of revenue recognition to a future period until we perform obligations under these arrangements. We record research funding as accounts receivable when the right to consideration is unconditional. The event-based milestone payments represent variable consideration, and we use the most likely amount method to estimate this variable consideration because we will either receive the milestone payment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ind w:right="160"/>
        <w:spacing w:after="0" w:line="258" w:lineRule="auto"/>
        <w:rPr>
          <w:sz w:val="20"/>
          <w:szCs w:val="20"/>
          <w:color w:val="auto"/>
        </w:rPr>
      </w:pPr>
      <w:r>
        <w:rPr>
          <w:rFonts w:ascii="Times New Roman" w:cs="Times New Roman" w:eastAsia="Times New Roman" w:hAnsi="Times New Roman"/>
          <w:sz w:val="18"/>
          <w:szCs w:val="18"/>
          <w:color w:val="auto"/>
        </w:rPr>
        <w:t>we will not, which makes the potential milestone payment a binary event. The most likely amount method requires us to determine the likelihood of earning the milestone payment. Given the high degree of uncertainty around achievement of these milestones, we determine the milestone amounts to be fully constrained and do not recognize revenue until the uncertainty associated with these payments is resolved. We will recognize revenue from sales-based royalty payments when or as the sales occur. We will re-evaluate the transaction price in each reporting period as uncertain events are resolved and other changes in circumstances occur.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collaborative partner and is the unit of account in Topic</w:t>
      </w:r>
    </w:p>
    <w:p>
      <w:pPr>
        <w:spacing w:after="0" w:line="27" w:lineRule="exact"/>
        <w:rPr>
          <w:sz w:val="20"/>
          <w:szCs w:val="20"/>
          <w:color w:val="auto"/>
        </w:rPr>
      </w:pPr>
    </w:p>
    <w:p>
      <w:pPr>
        <w:ind w:right="60" w:firstLine="8"/>
        <w:spacing w:after="0" w:line="253"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contract’s transaction price is allocated to each distinct performance obligation based on relative standalone selling price and recognized as revenue when, or as, the performance obligation is satisfied. Under Topic 606, we elected to use the practical expedients permitted related to adoption, which does not require us to disclose certain information regarding certain remaining performance obligations as of the end of the reporting period. Topic 606 is applicable for revenue recognized in accordance with the practical expedient for measuring progress toward satisfaction of a performance obligation, and variable consideration classified as a sales-based or usage-based royalty promised in exchange for a license.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In February 2016, the FASB issued ASU 2016-02, Leases (Topic 842), which requires lessees to recognize most leases on the balance sheet as lease liabilities with corresponding right-of-use assets and to disclose key information about leasing arrangements. We adopted Topic 842 on its effective date in the first quarter of 2019 using a modified retrospective approach. We elected the available package of practical expedients upon adoption, which allowed us to carry forward our historical assessment of whether existing agreements contained a lease and the classification of our existing operating leases. We continue to report our financial position as of December 31, 2018 under the former lease accounting standard (Topic 840) in our condensed consolidated balance sheet.</w:t>
      </w:r>
    </w:p>
    <w:p>
      <w:pPr>
        <w:spacing w:after="0" w:line="60"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adoption impact was due to the recognition of operating lease liabilities with corresponding right-of-use assets based on the present value of remaining minimum lease payments. The difference between these amounts was recorded as a reduction of the right-of-use asset by the existing balance of deferred rent obligation with no impact to retained earnings.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sensitivity, which is affected by changes in the general level of United States interest rates. Due to the nature of our cash and cash equivalents, we believe that we are not subject to any material market risk exposure. We do not have any foreign currency or other derivative financial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including our principal executive officer, our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and our principal accounting officer, conducted an evaluation as of the end of the period covered by this Quarterly Report on Form 10-Q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the design and operation of our disclosure controls and procedures. Based on that evaluation, management has concluded that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the Company’s disclosure controls and procedures were effective at the reasonable assurance level and we believe the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included in this Form 10-Q for the six months ended June 30, 2019 present, in all material respects, our financial position,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comprehensive loss, statements of stockholders’ equity and cash flows for the periods presented in conformity with U.S. generally accepted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2018, which we strongly encourage you to review. As of the filing of this report, there have been no material changes from the risk factors disclosed in Item 1A of our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7"/>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0" w:type="dxa"/>
            <w:vAlign w:val="bottom"/>
          </w:tcPr>
          <w:p>
            <w:pPr>
              <w:spacing w:after="0"/>
              <w:rPr>
                <w:sz w:val="20"/>
                <w:szCs w:val="20"/>
                <w:color w:val="auto"/>
              </w:rPr>
            </w:pPr>
          </w:p>
        </w:tc>
      </w:tr>
      <w:tr>
        <w:trPr>
          <w:trHeight w:val="264"/>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10160" w:type="dxa"/>
            <w:vAlign w:val="bottom"/>
            <w:gridSpan w:val="35"/>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Share Exchange Agreement, dated as of February 11, 2019, by and between the Company and Arcturus Therapeutics Holdings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Incorporated by reference to Exhibit 10.13 to the Company’s Annual Report on Form 10-K for the year ended December 31, 2018 filed with</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the SEC on March 18, 2019.</w:t>
              </w:r>
            </w:hyperlink>
          </w:p>
        </w:tc>
        <w:tc>
          <w:tcPr>
            <w:tcW w:w="8100" w:type="dxa"/>
            <w:vAlign w:val="bottom"/>
            <w:gridSpan w:val="32"/>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Articles of Association of the Company. Incorporated by reference to Exhibit No. 4.1 to the Company’s Registration Statement on Form S-8</w:t>
              </w:r>
            </w:hyperlink>
          </w:p>
        </w:tc>
        <w:tc>
          <w:tcPr>
            <w:tcW w:w="6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filed with the SEC on November 30, 2017 (File No. 333-221830).</w:t>
              </w:r>
            </w:hyperlink>
          </w:p>
        </w:tc>
        <w:tc>
          <w:tcPr>
            <w:tcW w:w="5360" w:type="dxa"/>
            <w:vAlign w:val="bottom"/>
            <w:gridSpan w:val="25"/>
          </w:tcPr>
          <w:p>
            <w:pPr>
              <w:spacing w:after="0"/>
              <w:rPr>
                <w:sz w:val="17"/>
                <w:szCs w:val="17"/>
                <w:color w:val="auto"/>
              </w:rPr>
            </w:pPr>
          </w:p>
        </w:tc>
      </w:tr>
      <w:tr>
        <w:trPr>
          <w:trHeight w:val="31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9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Arcturus Therapeutics Ltd. 2018 Omnibus Equity Incentive Plan. Incorporated by reference to Exhibit 99.3 to the Company’s Report of</w:t>
              </w:r>
            </w:hyperlink>
          </w:p>
        </w:tc>
        <w:tc>
          <w:tcPr>
            <w:tcW w:w="3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Foreign Private Issuer on Form 6-K filed with the SEC on July 27, 2018 (File No. 001-35932).</w:t>
              </w:r>
            </w:hyperlink>
          </w:p>
        </w:tc>
      </w:tr>
      <w:tr>
        <w:trPr>
          <w:trHeight w:val="20"/>
        </w:trPr>
        <w:tc>
          <w:tcPr>
            <w:tcW w:w="12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100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Arcturus Therapeutics Ltd. Amended and Restated Compensation Policy for Company Office Holders. Incorporated by reference to Exhibit</w:t>
              </w:r>
            </w:hyperlink>
          </w:p>
        </w:tc>
        <w:tc>
          <w:tcPr>
            <w:tcW w:w="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Report of Foreign Private Issuer on Form 6-K filed with the SEC on July 27, 2018 (File No. 001-35932).</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Agreement and Plan of Merger and Reorganization among Alcobra Ltd., Aleph MergerSub, Inc. and Arcturus Therapeutics, Inc., dated as of</w:t>
              </w:r>
            </w:hyperlink>
          </w:p>
        </w:tc>
        <w:tc>
          <w:tcPr>
            <w:tcW w:w="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September 27, 2017. Incorporated by reference to Exhibit 99.2 to the Company’s Report of Foreign Private Issuer on Form 6-K filed with</w:t>
              </w:r>
            </w:hyperlink>
          </w:p>
        </w:tc>
        <w:tc>
          <w:tcPr>
            <w:tcW w:w="22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the SEC on September 28, 2017 (File No. 001-35932).</w:t>
              </w:r>
            </w:hyperlink>
          </w:p>
        </w:tc>
        <w:tc>
          <w:tcPr>
            <w:tcW w:w="6220" w:type="dxa"/>
            <w:vAlign w:val="bottom"/>
            <w:gridSpan w:val="29"/>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Indemnification Agreement. Incorporated by reference to Exhibit 10.4 to the Company’s Form F-1/A filed with the SEC on</w:t>
              </w:r>
            </w:hyperlink>
          </w:p>
        </w:tc>
        <w:tc>
          <w:tcPr>
            <w:tcW w:w="62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February 19, 2013 (File No. 333-186003).</w:t>
              </w:r>
            </w:hyperlink>
          </w:p>
        </w:tc>
        <w:tc>
          <w:tcPr>
            <w:tcW w:w="7120" w:type="dxa"/>
            <w:vAlign w:val="bottom"/>
            <w:gridSpan w:val="31"/>
          </w:tcPr>
          <w:p>
            <w:pPr>
              <w:spacing w:after="0"/>
              <w:rPr>
                <w:sz w:val="17"/>
                <w:szCs w:val="17"/>
                <w:color w:val="auto"/>
              </w:rPr>
            </w:pPr>
          </w:p>
        </w:tc>
      </w:tr>
      <w:tr>
        <w:trPr>
          <w:trHeight w:val="31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98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Alcobra Ltd. Amended and Restated 2010 Incentive Option Plan. Incorporated by reference to Exhibit 4.3 to the Company’s Form 20-F</w:t>
              </w:r>
            </w:hyperlink>
          </w:p>
        </w:tc>
        <w:tc>
          <w:tcPr>
            <w:tcW w:w="36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filed with the SEC on April 28, 2017 (File No. 001-35932).</w:t>
              </w:r>
            </w:hyperlink>
          </w:p>
        </w:tc>
      </w:tr>
      <w:tr>
        <w:trPr>
          <w:trHeight w:val="20"/>
        </w:trPr>
        <w:tc>
          <w:tcPr>
            <w:tcW w:w="12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99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2013 Equity Incentive Plan of Arcturus Therapeutics, Inc. Incorporated by reference to Exhibit 99.1 to the Company’s Form S-8 filed with</w:t>
              </w:r>
            </w:hyperlink>
          </w:p>
        </w:tc>
        <w:tc>
          <w:tcPr>
            <w:tcW w:w="18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the SEC on November 30, 2017 (File No. 333-221830).</w:t>
              </w:r>
            </w:hyperlink>
          </w:p>
        </w:tc>
        <w:tc>
          <w:tcPr>
            <w:tcW w:w="6140" w:type="dxa"/>
            <w:vAlign w:val="bottom"/>
            <w:gridSpan w:val="28"/>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60" w:type="dxa"/>
            <w:vAlign w:val="bottom"/>
            <w:gridSpan w:val="35"/>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Loan and Security Agreement, dated October 12, 2018, by and between Western Alliance Bank and Arcturus Therapeutics, Inc.</w:t>
              </w:r>
            </w:hyperlink>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 to Exhibit 10.1 to the Company’s Report of Foreign Private Issuer on Form 6-K filed with the SEC on October 15,</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2018 (File No. 001-35932).</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60" w:type="dxa"/>
            <w:vAlign w:val="bottom"/>
            <w:gridSpan w:val="35"/>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Sales Agreement, dated October 15, 2018, by and between Arcturus Therapeutics Ltd. and Leerink Partners LLC. Incorporated by reference</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to Exhibit 10.2 to the Company’s Report of Foreign Private Issuer on Form 6-K filed with the SEC on October 15, 2018 (File No. 001-</w:t>
              </w:r>
            </w:hyperlink>
          </w:p>
        </w:tc>
        <w:tc>
          <w:tcPr>
            <w:tcW w:w="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35932).</w:t>
              </w:r>
            </w:hyperlink>
          </w:p>
        </w:tc>
        <w:tc>
          <w:tcPr>
            <w:tcW w:w="1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60" w:type="dxa"/>
            <w:vAlign w:val="bottom"/>
            <w:gridSpan w:val="3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Amendment to Development and Option Agreement, dated as of September 28, 2018, by and between CureVac AG</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and Arcturus Therapeutics Inc. Incorporated by reference to Exhibit 99.2 to the Company’s Report of Foreign Private Issuer on Form 6-K</w:t>
              </w:r>
            </w:hyperlink>
          </w:p>
        </w:tc>
        <w:tc>
          <w:tcPr>
            <w:tcW w:w="100" w:type="dxa"/>
            <w:vAlign w:val="bottom"/>
            <w:tcBorders>
              <w:top w:val="single" w:sz="8" w:color="0000EE"/>
            </w:tcBorders>
            <w:gridSpan w:val="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filed with the SEC on October 1, 2018 (File No. 001-35932).</w:t>
              </w:r>
            </w:hyperlink>
          </w:p>
        </w:tc>
        <w:tc>
          <w:tcPr>
            <w:tcW w:w="5760" w:type="dxa"/>
            <w:vAlign w:val="bottom"/>
            <w:gridSpan w:val="26"/>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Research Collaboration and License Agreement, by and between Arcturus Therapeutics, Inc. and Janssen Pharmaceuticals, Inc., dated</w:t>
              </w:r>
            </w:hyperlink>
          </w:p>
        </w:tc>
        <w:tc>
          <w:tcPr>
            <w:tcW w:w="50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October 18, 2017. Incorporated by reference to Exhibit 4.7 to Form 20-F filed with the SEC on May 14, 2018 (File No. 001-35932).</w:t>
              </w:r>
            </w:hyperlink>
          </w:p>
        </w:tc>
        <w:tc>
          <w:tcPr>
            <w:tcW w:w="640" w:type="dxa"/>
            <w:vAlign w:val="bottom"/>
            <w:gridSpan w:val="17"/>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Research and Exclusive License Agreement, by and between Arcturus Therapeutics, Inc. and Synthetic Genomics, Inc., effective October</w:t>
              </w:r>
            </w:hyperlink>
          </w:p>
        </w:tc>
        <w:tc>
          <w:tcPr>
            <w:tcW w:w="24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24, 2017. Incorporated by reference to Exhibit 4.8 to Form 20-F filed with the SEC on May 14, 2018 (File No. 001-35932).</w:t>
              </w:r>
            </w:hyperlink>
          </w:p>
        </w:tc>
        <w:tc>
          <w:tcPr>
            <w:tcW w:w="1260" w:type="dxa"/>
            <w:vAlign w:val="bottom"/>
            <w:gridSpan w:val="21"/>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Research Agreement, by and between Arcturus Therapeutics, Inc. and Millennium Pharmaceuticals, Inc., a wholly-owned subsidiary of</w:t>
              </w:r>
            </w:hyperlink>
          </w:p>
        </w:tc>
        <w:tc>
          <w:tcPr>
            <w:tcW w:w="40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Takeda Pharmaceutical Company Limited, effective December 6, 2016, as amended December 21, 2017. Incorporated by reference to</w:t>
              </w:r>
            </w:hyperlink>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Exhibit 4.9 to Form 20-F filed with the SEC on May 14, 2018 (File No. 001-35932).</w:t>
              </w:r>
            </w:hyperlink>
          </w:p>
        </w:tc>
        <w:tc>
          <w:tcPr>
            <w:tcW w:w="52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5"/>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Research Collaboration and License Agreement, by and between Arcturus Therapeutics, Inc. and Ultragenyx Pharmaceutical Inc., entered</w:t>
              </w:r>
            </w:hyperlink>
          </w:p>
        </w:tc>
        <w:tc>
          <w:tcPr>
            <w:tcW w:w="22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into as of October 26, 2015, as amended October 17, 2017 and April 20, 2018. Incorporated by reference to Exhibit 4.10 to Form 20-F filed</w:t>
              </w:r>
            </w:hyperlink>
          </w:p>
        </w:tc>
        <w:tc>
          <w:tcPr>
            <w:tcW w:w="10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with the SEC on May 14, 2018 (File No. 001-35932).</w:t>
              </w:r>
            </w:hyperlink>
          </w:p>
        </w:tc>
        <w:tc>
          <w:tcPr>
            <w:tcW w:w="6300" w:type="dxa"/>
            <w:vAlign w:val="bottom"/>
            <w:gridSpan w:val="30"/>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97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Letter Agreement, by and between Arcturus Therapeutics, Inc. and Cystic Fibrosis Foundation Therapeutics, Inc., dated May 16, 2017.</w:t>
              </w:r>
            </w:hyperlink>
          </w:p>
        </w:tc>
        <w:tc>
          <w:tcPr>
            <w:tcW w:w="44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Incorporated by reference to Exhibit 4.11 to Form 20-F filed with the SEC on May 14, 2018 (File No. 001-35932).</w:t>
              </w:r>
            </w:hyperlink>
          </w:p>
        </w:tc>
        <w:tc>
          <w:tcPr>
            <w:tcW w:w="1900" w:type="dxa"/>
            <w:vAlign w:val="bottom"/>
            <w:gridSpan w:val="22"/>
          </w:tcPr>
          <w:p>
            <w:pPr>
              <w:spacing w:after="0"/>
              <w:rPr>
                <w:sz w:val="17"/>
                <w:szCs w:val="17"/>
                <w:color w:val="auto"/>
              </w:rPr>
            </w:pPr>
          </w:p>
        </w:tc>
      </w:tr>
      <w:tr>
        <w:trPr>
          <w:trHeight w:val="318"/>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Development and Option Agreement, by and between Arcturus Therapeutics, Inc. and CureVac AG, dated January 1, 2018, as amended</w:t>
              </w:r>
            </w:hyperlink>
          </w:p>
        </w:tc>
        <w:tc>
          <w:tcPr>
            <w:tcW w:w="3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35"/>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May 3, 2018. Incorporated by reference to Exhibit 4.12 to Form 20-F filed with the SEC on May 14, 2018 (File No. 001-35932).</w:t>
              </w:r>
            </w:hyperlink>
          </w:p>
        </w:tc>
      </w:tr>
      <w:tr>
        <w:trPr>
          <w:trHeight w:val="453"/>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top w:val="single" w:sz="8" w:color="0000EE"/>
            </w:tcBorders>
            <w:gridSpan w:val="10"/>
          </w:tcPr>
          <w:p>
            <w:pPr>
              <w:ind w:left="4340"/>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Co-Development and Co-Commercialization Agreement, by and between Arcturus Therapeutics, Inc. and CureVac AG, dated January 1,</w:t>
              </w:r>
            </w:hyperlink>
          </w:p>
        </w:tc>
        <w:tc>
          <w:tcPr>
            <w:tcW w:w="30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2018. Incorporated by reference to Exhibit 4.13 to Form 20-F filed with the SEC on May 14, 2018 (File No. 001-35932).</w:t>
              </w:r>
            </w:hyperlink>
          </w:p>
        </w:tc>
        <w:tc>
          <w:tcPr>
            <w:tcW w:w="1440" w:type="dxa"/>
            <w:vAlign w:val="bottom"/>
            <w:gridSpan w:val="20"/>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9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License Agreement, by and between Arcturus Therapeutics, Inc., as successor-in-interest to Marina Biotech, Inc., and Protiva</w:t>
              </w:r>
            </w:hyperlink>
          </w:p>
        </w:tc>
        <w:tc>
          <w:tcPr>
            <w:tcW w:w="1120" w:type="dxa"/>
            <w:vAlign w:val="bottom"/>
            <w:gridSpan w:val="1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Biotherapeutics Inc., dated as of November 28, 2012. Incorporated by reference to Exhibit 4.14 to Form 20-F/A filed with the SEC on July</w:t>
              </w:r>
            </w:hyperlink>
          </w:p>
        </w:tc>
        <w:tc>
          <w:tcPr>
            <w:tcW w:w="1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10, 2018 (File No. 001-35932).</w:t>
              </w:r>
            </w:hyperlink>
          </w:p>
        </w:tc>
        <w:tc>
          <w:tcPr>
            <w:tcW w:w="7900" w:type="dxa"/>
            <w:vAlign w:val="bottom"/>
            <w:gridSpan w:val="31"/>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Patent Assignment and License Agreement, by and between Arcturus Therapeutics, Inc. and Marina Biotech, Inc., dated as of August 9,</w:t>
              </w:r>
            </w:hyperlink>
          </w:p>
        </w:tc>
        <w:tc>
          <w:tcPr>
            <w:tcW w:w="36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8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2013. Incorporated by reference to Exhibit 4.15 to Form 20-F filed with the SEC on May 14, 2018 (File No. 001-35932).</w:t>
              </w:r>
            </w:hyperlink>
          </w:p>
        </w:tc>
        <w:tc>
          <w:tcPr>
            <w:tcW w:w="1440" w:type="dxa"/>
            <w:vAlign w:val="bottom"/>
            <w:gridSpan w:val="20"/>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1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Share Exchange Agreement, dated as of February 11, 2019, by and between Arcturus Therapeutics Ltd. and Arcturus Therapeutics Holdings</w:t>
              </w:r>
            </w:hyperlink>
          </w:p>
        </w:tc>
        <w:tc>
          <w:tcPr>
            <w:tcW w:w="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 Incorporated by reference to Exhibit 10.13 to the Company’s Annual Report on Form 10-K for the year ended December 31, 2018 filed</w:t>
              </w:r>
            </w:hyperlink>
          </w:p>
        </w:tc>
      </w:tr>
      <w:tr>
        <w:trPr>
          <w:trHeight w:val="196"/>
        </w:trPr>
        <w:tc>
          <w:tcPr>
            <w:tcW w:w="128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with the SEC on March 18, 2019.</w:t>
              </w:r>
            </w:hyperlink>
          </w:p>
        </w:tc>
        <w:tc>
          <w:tcPr>
            <w:tcW w:w="7640" w:type="dxa"/>
            <w:vAlign w:val="bottom"/>
            <w:tcBorders>
              <w:top w:val="single" w:sz="8" w:color="0000EE"/>
            </w:tcBorders>
            <w:gridSpan w:val="2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Joint Venture, Research Collaboration and License Agreement, dated as of July 14, 2018 by and between Arcturus</w:t>
              </w:r>
            </w:hyperlink>
          </w:p>
        </w:tc>
        <w:tc>
          <w:tcPr>
            <w:tcW w:w="200" w:type="dxa"/>
            <w:vAlign w:val="bottom"/>
            <w:gridSpan w:val="7"/>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Therapeutics, Inc. and Providence Therapeutics, Inc. Incorporated by reference to Exhibit 10.14 to the Company’s Amendment No. 1 to</w:t>
              </w:r>
            </w:hyperlink>
          </w:p>
        </w:tc>
      </w:tr>
      <w:tr>
        <w:trPr>
          <w:trHeight w:val="196"/>
        </w:trPr>
        <w:tc>
          <w:tcPr>
            <w:tcW w:w="12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Annual Report on Form 10-K for the year ended December 31, 2018 filed with the SEC on April 10, 2019.</w:t>
              </w:r>
            </w:hyperlink>
          </w:p>
        </w:tc>
        <w:tc>
          <w:tcPr>
            <w:tcW w:w="2080" w:type="dxa"/>
            <w:vAlign w:val="bottom"/>
            <w:tcBorders>
              <w:top w:val="single" w:sz="8" w:color="0000EE"/>
            </w:tcBorders>
            <w:gridSpan w:val="10"/>
          </w:tcPr>
          <w:p>
            <w:pPr>
              <w:spacing w:after="0"/>
              <w:rPr>
                <w:sz w:val="17"/>
                <w:szCs w:val="17"/>
                <w:color w:val="auto"/>
              </w:rPr>
            </w:pPr>
          </w:p>
        </w:tc>
        <w:tc>
          <w:tcPr>
            <w:tcW w:w="380" w:type="dxa"/>
            <w:vAlign w:val="bottom"/>
            <w:gridSpan w:val="12"/>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8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Research Collaboration Agreement, dated as of March 8, 2019 by and between Arcturus Therapeutics, Inc. and Millennium</w:t>
              </w:r>
            </w:hyperlink>
          </w:p>
        </w:tc>
        <w:tc>
          <w:tcPr>
            <w:tcW w:w="1260" w:type="dxa"/>
            <w:vAlign w:val="bottom"/>
            <w:gridSpan w:val="1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Pharmaceuticals, Inc., a wholly-owned subsidiary of Takeda Pharmaceutical Company Limited. Incorporated by reference to Exhibit 10.15</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to the Company’s Annual Report on Form 10-K for the year ended December 31, 2018 filed with the SEC on March 18, 2019.</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9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Amendment dated as of August 1, 2019, by and between Arcturus Therapeutics, Inc. and Cystic Fibrosis Foundation to that certain</w:t>
              </w:r>
            </w:hyperlink>
          </w:p>
        </w:tc>
        <w:tc>
          <w:tcPr>
            <w:tcW w:w="720" w:type="dxa"/>
            <w:vAlign w:val="bottom"/>
            <w:gridSpan w:val="1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Development Program Letter Agreement of May 16, 2017.</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160" w:type="dxa"/>
            <w:vAlign w:val="bottom"/>
            <w:gridSpan w:val="33"/>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Letter Agreement, dated July 26, 2019, between the Company and the Placement Agent. Incorporated by reference to Exhibit 1.1 to the</w:t>
              </w:r>
            </w:hyperlink>
          </w:p>
        </w:tc>
      </w:tr>
      <w:tr>
        <w:trPr>
          <w:trHeight w:val="196"/>
        </w:trPr>
        <w:tc>
          <w:tcPr>
            <w:tcW w:w="128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Company’s Current Report on Form 8-K dated August 2, 2019.</w:t>
              </w:r>
            </w:hyperlink>
          </w:p>
        </w:tc>
        <w:tc>
          <w:tcPr>
            <w:tcW w:w="420" w:type="dxa"/>
            <w:vAlign w:val="bottom"/>
            <w:gridSpan w:val="1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160" w:type="dxa"/>
            <w:vAlign w:val="bottom"/>
            <w:gridSpan w:val="3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Securities Purchase Agreement, dated August 1, 2019, between the Company and the Investors party thereto. Incorporated by reference to</w:t>
              </w:r>
            </w:hyperlink>
          </w:p>
        </w:tc>
      </w:tr>
      <w:tr>
        <w:trPr>
          <w:trHeight w:val="196"/>
        </w:trPr>
        <w:tc>
          <w:tcPr>
            <w:tcW w:w="1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Exhibit 10.1 to the Company’s Current Report on Form 8-K dated August 2, 2019.</w:t>
              </w:r>
            </w:hyperlink>
          </w:p>
        </w:tc>
        <w:tc>
          <w:tcPr>
            <w:tcW w:w="3980" w:type="dxa"/>
            <w:vAlign w:val="bottom"/>
            <w:tcBorders>
              <w:top w:val="single" w:sz="8" w:color="0000EE"/>
            </w:tcBorders>
            <w:gridSpan w:val="15"/>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160" w:type="dxa"/>
            <w:vAlign w:val="bottom"/>
            <w:gridSpan w:val="33"/>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Securities Purchase Agreement, dated August 2, 2019, between the Company and the Investors party thereto. Incorporated by reference to</w:t>
              </w:r>
            </w:hyperlink>
          </w:p>
        </w:tc>
      </w:tr>
      <w:tr>
        <w:trPr>
          <w:trHeight w:val="196"/>
        </w:trPr>
        <w:tc>
          <w:tcPr>
            <w:tcW w:w="128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Exhibit 10.1 to the Company’s Current Report on Form 8-K dated August 5, 2019.</w:t>
              </w:r>
            </w:hyperlink>
          </w:p>
        </w:tc>
        <w:tc>
          <w:tcPr>
            <w:tcW w:w="3980" w:type="dxa"/>
            <w:vAlign w:val="bottom"/>
            <w:tcBorders>
              <w:top w:val="single" w:sz="8" w:color="0000EE"/>
            </w:tcBorders>
            <w:gridSpan w:val="15"/>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98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Amendment to Development and Option Agreement, dated July 26, 2019, by and between Arcturus Therapeutics, Inc. and CureVac AG.</w:t>
              </w:r>
            </w:hyperlink>
          </w:p>
        </w:tc>
        <w:tc>
          <w:tcPr>
            <w:tcW w:w="320" w:type="dxa"/>
            <w:vAlign w:val="bottom"/>
            <w:gridSpan w:val="10"/>
          </w:tcPr>
          <w:p>
            <w:pPr>
              <w:spacing w:after="0"/>
              <w:rPr>
                <w:sz w:val="24"/>
                <w:szCs w:val="24"/>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7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Termination Agreement, dated July 26, 2019, by and between Arcturus Therapeutics, Inc. and CureVac AG.</w:t>
              </w:r>
            </w:hyperlink>
          </w:p>
        </w:tc>
        <w:tc>
          <w:tcPr>
            <w:tcW w:w="2380" w:type="dxa"/>
            <w:vAlign w:val="bottom"/>
            <w:gridSpan w:val="21"/>
          </w:tcPr>
          <w:p>
            <w:pPr>
              <w:spacing w:after="0"/>
              <w:rPr>
                <w:sz w:val="24"/>
                <w:szCs w:val="24"/>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0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Registration Rights Agreement, dated June 18, 2019, between the Company and Ultragenyx Pharmaceutical Inc. Incorporated by reference</w:t>
              </w:r>
            </w:hyperlink>
          </w:p>
        </w:tc>
        <w:tc>
          <w:tcPr>
            <w:tcW w:w="14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to Exhibit 4.1 to the Company’s Current Report on Form 8-K dated June 20, 2019.</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0160" w:type="dxa"/>
            <w:vAlign w:val="bottom"/>
            <w:gridSpan w:val="33"/>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Equity Purchase Agreement, dated June 18, 2019, between the Company and Ultragenyx Pharmaceutical Inc. Incorporated by reference to</w:t>
              </w:r>
            </w:hyperlink>
          </w:p>
        </w:tc>
      </w:tr>
      <w:tr>
        <w:trPr>
          <w:trHeight w:val="196"/>
        </w:trPr>
        <w:tc>
          <w:tcPr>
            <w:tcW w:w="1280" w:type="dxa"/>
            <w:vAlign w:val="bottom"/>
          </w:tcPr>
          <w:p>
            <w:pPr>
              <w:spacing w:after="0"/>
              <w:rPr>
                <w:sz w:val="17"/>
                <w:szCs w:val="17"/>
                <w:color w:val="auto"/>
              </w:rPr>
            </w:pPr>
          </w:p>
        </w:tc>
        <w:tc>
          <w:tcPr>
            <w:tcW w:w="99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Exhibit 10.1 to the Company’s Current Report on Form 8-K dated June 20, 2019.</w:t>
              </w:r>
            </w:hyperlink>
          </w:p>
        </w:tc>
        <w:tc>
          <w:tcPr>
            <w:tcW w:w="200" w:type="dxa"/>
            <w:vAlign w:val="bottom"/>
            <w:gridSpan w:val="7"/>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10160" w:type="dxa"/>
            <w:vAlign w:val="bottom"/>
            <w:gridSpan w:val="3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Third Amendment, dated June 18, 2019 to Research Collaboration and License Agreement, dated October 26, 2015, as amended on October</w:t>
              </w:r>
            </w:hyperlink>
          </w:p>
        </w:tc>
      </w:tr>
      <w:tr>
        <w:trPr>
          <w:trHeight w:val="196"/>
        </w:trPr>
        <w:tc>
          <w:tcPr>
            <w:tcW w:w="128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17, 2017 and April 20, 2018, between the Company and Ultragenyx Pharmaceutical Inc. Incorporated by reference to Exhibit 10.2 to the</w:t>
              </w:r>
            </w:hyperlink>
          </w:p>
        </w:tc>
        <w:tc>
          <w:tcPr>
            <w:tcW w:w="260" w:type="dxa"/>
            <w:vAlign w:val="bottom"/>
            <w:tcBorders>
              <w:top w:val="single" w:sz="8" w:color="0000EE"/>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Company’s Current Report on Form 8-K dated June 20, 2019.</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hyperlink>
          </w:p>
        </w:tc>
        <w:tc>
          <w:tcPr>
            <w:tcW w:w="540" w:type="dxa"/>
            <w:vAlign w:val="bottom"/>
            <w:gridSpan w:val="1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Adopted Pursuant 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33"/>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hyperlink>
          </w:p>
        </w:tc>
      </w:tr>
      <w:tr>
        <w:trPr>
          <w:trHeight w:val="196"/>
        </w:trPr>
        <w:tc>
          <w:tcPr>
            <w:tcW w:w="1280" w:type="dxa"/>
            <w:vAlign w:val="bottom"/>
          </w:tcPr>
          <w:p>
            <w:pPr>
              <w:spacing w:after="0"/>
              <w:rPr>
                <w:sz w:val="17"/>
                <w:szCs w:val="17"/>
                <w:color w:val="auto"/>
              </w:rPr>
            </w:pPr>
          </w:p>
        </w:tc>
        <w:tc>
          <w:tcPr>
            <w:tcW w:w="95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Adopted Pursuant to Section 302 of the Sarbanes-Oxley Act of 2002.</w:t>
              </w:r>
            </w:hyperlink>
          </w:p>
        </w:tc>
        <w:tc>
          <w:tcPr>
            <w:tcW w:w="600" w:type="dxa"/>
            <w:vAlign w:val="bottom"/>
            <w:gridSpan w:val="15"/>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502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33"/>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hyperlink>
          </w:p>
        </w:tc>
      </w:tr>
      <w:tr>
        <w:trPr>
          <w:trHeight w:val="196"/>
        </w:trPr>
        <w:tc>
          <w:tcPr>
            <w:tcW w:w="1280" w:type="dxa"/>
            <w:vAlign w:val="bottom"/>
          </w:tcPr>
          <w:p>
            <w:pPr>
              <w:spacing w:after="0"/>
              <w:rPr>
                <w:sz w:val="17"/>
                <w:szCs w:val="17"/>
                <w:color w:val="auto"/>
              </w:rPr>
            </w:pPr>
          </w:p>
        </w:tc>
        <w:tc>
          <w:tcPr>
            <w:tcW w:w="100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Act of 2002.</w:t>
              </w:r>
            </w:hyperlink>
          </w:p>
        </w:tc>
        <w:tc>
          <w:tcPr>
            <w:tcW w:w="12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2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hyperlink>
          </w:p>
        </w:tc>
        <w:tc>
          <w:tcPr>
            <w:tcW w:w="16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160" w:type="dxa"/>
            <w:vAlign w:val="bottom"/>
            <w:gridSpan w:val="33"/>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Act of 2002.</w:t>
              </w:r>
            </w:hyperlink>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60" w:type="dxa"/>
            <w:vAlign w:val="bottom"/>
            <w:gridSpan w:val="32"/>
          </w:tcPr>
          <w:p>
            <w:pPr>
              <w:spacing w:after="0" w:line="20" w:lineRule="exact"/>
              <w:rPr>
                <w:sz w:val="1"/>
                <w:szCs w:val="1"/>
                <w:color w:val="auto"/>
              </w:rPr>
            </w:pPr>
          </w:p>
        </w:tc>
      </w:tr>
      <w:tr>
        <w:trPr>
          <w:trHeight w:val="35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280" w:type="dxa"/>
            <w:vAlign w:val="bottom"/>
          </w:tcPr>
          <w:p>
            <w:pPr>
              <w:spacing w:after="0"/>
              <w:rPr>
                <w:sz w:val="24"/>
                <w:szCs w:val="24"/>
                <w:color w:val="auto"/>
              </w:rPr>
            </w:pPr>
          </w:p>
        </w:tc>
        <w:tc>
          <w:tcPr>
            <w:tcW w:w="4560" w:type="dxa"/>
            <w:vAlign w:val="bottom"/>
            <w:gridSpan w:val="6"/>
          </w:tcPr>
          <w:p>
            <w:pPr>
              <w:ind w:left="434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20" w:hanging="512"/>
        <w:spacing w:after="0" w:line="27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marked by brackets, have been omitted pursuant to Item 601(b)(10)(iv) of Regulation S-K under the Securities Act of 1933, as amended, because they are both (i) not material and (ii) would likely cause competitive harm to the registrant if publicly disclosed.</w:t>
      </w: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780" w:type="dxa"/>
            <w:vAlign w:val="bottom"/>
            <w:gridSpan w:val="2"/>
          </w:tcPr>
          <w:p>
            <w:pPr>
              <w:ind w:left="310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2019</w:t>
            </w:r>
          </w:p>
        </w:tc>
        <w:tc>
          <w:tcPr>
            <w:tcW w:w="7780" w:type="dxa"/>
            <w:vAlign w:val="bottom"/>
            <w:gridSpan w:val="2"/>
          </w:tcPr>
          <w:p>
            <w:pPr>
              <w:ind w:left="3100"/>
              <w:spacing w:after="0"/>
              <w:rPr>
                <w:sz w:val="20"/>
                <w:szCs w:val="20"/>
                <w:color w:val="auto"/>
              </w:rPr>
            </w:pPr>
            <w:r>
              <w:rPr>
                <w:rFonts w:ascii="Times New Roman" w:cs="Times New Roman" w:eastAsia="Times New Roman" w:hAnsi="Times New Roman"/>
                <w:sz w:val="18"/>
                <w:szCs w:val="18"/>
                <w:color w:val="auto"/>
              </w:rPr>
              <w:t>By: /s/ Andrew Sassine</w:t>
            </w:r>
          </w:p>
        </w:tc>
      </w:tr>
      <w:tr>
        <w:trPr>
          <w:trHeight w:val="191"/>
        </w:trPr>
        <w:tc>
          <w:tcPr>
            <w:tcW w:w="36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Sassine</w:t>
            </w:r>
          </w:p>
        </w:tc>
      </w:tr>
      <w:tr>
        <w:trPr>
          <w:trHeight w:val="234"/>
        </w:trPr>
        <w:tc>
          <w:tcPr>
            <w:tcW w:w="3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640" w:type="dxa"/>
            <w:vAlign w:val="bottom"/>
          </w:tcPr>
          <w:p>
            <w:pPr>
              <w:spacing w:after="0"/>
              <w:rPr>
                <w:sz w:val="24"/>
                <w:szCs w:val="24"/>
                <w:color w:val="auto"/>
              </w:rPr>
            </w:pPr>
          </w:p>
        </w:tc>
        <w:tc>
          <w:tcPr>
            <w:tcW w:w="34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29"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20"/>
          <w:szCs w:val="20"/>
          <w:b w:val="1"/>
          <w:bCs w:val="1"/>
          <w:color w:val="auto"/>
        </w:rPr>
        <w:t>REDACTED</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b w:val="1"/>
          <w:bCs w:val="1"/>
          <w:color w:val="auto"/>
        </w:rPr>
        <w:t>Certain identified information, indicated by [***], has been</w:t>
      </w:r>
    </w:p>
    <w:p>
      <w:pPr>
        <w:ind w:left="6240"/>
        <w:spacing w:after="0"/>
        <w:rPr>
          <w:sz w:val="20"/>
          <w:szCs w:val="20"/>
          <w:color w:val="auto"/>
        </w:rPr>
      </w:pPr>
      <w:r>
        <w:rPr>
          <w:rFonts w:ascii="Times New Roman" w:cs="Times New Roman" w:eastAsia="Times New Roman" w:hAnsi="Times New Roman"/>
          <w:sz w:val="20"/>
          <w:szCs w:val="20"/>
          <w:b w:val="1"/>
          <w:bCs w:val="1"/>
          <w:color w:val="auto"/>
        </w:rPr>
        <w:t>excluded from the exhibit because it is both (i) not material</w:t>
      </w:r>
    </w:p>
    <w:p>
      <w:pPr>
        <w:ind w:left="6240"/>
        <w:spacing w:after="0"/>
        <w:rPr>
          <w:sz w:val="20"/>
          <w:szCs w:val="20"/>
          <w:color w:val="auto"/>
        </w:rPr>
      </w:pPr>
      <w:r>
        <w:rPr>
          <w:rFonts w:ascii="Times New Roman" w:cs="Times New Roman" w:eastAsia="Times New Roman" w:hAnsi="Times New Roman"/>
          <w:sz w:val="20"/>
          <w:szCs w:val="20"/>
          <w:b w:val="1"/>
          <w:bCs w:val="1"/>
          <w:color w:val="auto"/>
        </w:rPr>
        <w:t>and (ii) would likely cause competitive harm if publicly</w:t>
      </w:r>
    </w:p>
    <w:p>
      <w:pPr>
        <w:ind w:left="6240"/>
        <w:spacing w:after="0"/>
        <w:rPr>
          <w:sz w:val="20"/>
          <w:szCs w:val="20"/>
          <w:color w:val="auto"/>
        </w:rPr>
      </w:pPr>
      <w:r>
        <w:rPr>
          <w:rFonts w:ascii="Times New Roman" w:cs="Times New Roman" w:eastAsia="Times New Roman" w:hAnsi="Times New Roman"/>
          <w:sz w:val="20"/>
          <w:szCs w:val="20"/>
          <w:b w:val="1"/>
          <w:bCs w:val="1"/>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2 TO LETTER AGREEMENT</w:t>
      </w:r>
    </w:p>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This Amendment No. 2 (“Amendment No. 2”) to the Development Program Letter Agreement of May 16, 2017 is entered into and effective as of August 1, 2019 (the “Amendment No. 2 Effective Date”) by and between Arcturus Therapeutics, Inc. (“Arcturus”) and the Cystic Fibrosis Foundation (“CFF”).</w:t>
      </w:r>
    </w:p>
    <w:p>
      <w:pPr>
        <w:spacing w:after="0" w:line="17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WHEREAS, Arcturus and an CFF affiliate, Cystic Fibrosis Foundation Therapeutics, Inc. (“CFFT”), entered into the Development Program Letter Agreement of May 16, 2017, as amended by Amendment No. 1 dated July 13, 2018 (the “Agreement”); 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CFFT assigned the Agreement to CFF; and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parties wish to further amend the Agreement by this Amendment No. 2.</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NOW, THEREFORE, in consideration of the mutual covenants set forth in the Agreement and this Amendment No. 2 and for other good and valuable consideration, the receipt and sufficiency of which the parties acknowledge, the parties agree as follows:</w:t>
      </w:r>
    </w:p>
    <w:p>
      <w:pPr>
        <w:spacing w:after="0" w:line="120" w:lineRule="exact"/>
        <w:rPr>
          <w:sz w:val="20"/>
          <w:szCs w:val="20"/>
          <w:color w:val="auto"/>
        </w:rPr>
      </w:pPr>
    </w:p>
    <w:p>
      <w:pPr>
        <w:ind w:left="440" w:hanging="432"/>
        <w:spacing w:after="0" w:line="233" w:lineRule="auto"/>
        <w:tabs>
          <w:tab w:leader="none" w:pos="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Award and Matched Funds.</w:t>
      </w:r>
      <w:r>
        <w:rPr>
          <w:rFonts w:ascii="Times New Roman" w:cs="Times New Roman" w:eastAsia="Times New Roman" w:hAnsi="Times New Roman"/>
          <w:sz w:val="20"/>
          <w:szCs w:val="20"/>
          <w:color w:val="auto"/>
        </w:rPr>
        <w:t xml:space="preserve"> The parties acknowledge that a total of $20 million is required to advance LUNAR-CF through the opening of an Investigational New Drug (“IND”). In order to cover such costs, the Agreement is amended as follows:</w:t>
      </w:r>
    </w:p>
    <w:p>
      <w:pPr>
        <w:spacing w:after="0" w:line="188" w:lineRule="exact"/>
        <w:rPr>
          <w:rFonts w:ascii="Times New Roman" w:cs="Times New Roman" w:eastAsia="Times New Roman" w:hAnsi="Times New Roman"/>
          <w:sz w:val="20"/>
          <w:szCs w:val="20"/>
          <w:color w:val="auto"/>
        </w:rPr>
      </w:pPr>
    </w:p>
    <w:p>
      <w:pPr>
        <w:ind w:left="1300" w:hanging="428"/>
        <w:spacing w:after="0" w:line="311"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Award” specified in the Agreement is increased to $15 million and, as specified in Exhibit B-2 (attached to this Amendment No. 2), the Award shall be disbursed by CFF in accordance with the following schedule:</w:t>
      </w:r>
    </w:p>
    <w:p>
      <w:pPr>
        <w:spacing w:after="0" w:line="11" w:lineRule="exact"/>
        <w:rPr>
          <w:rFonts w:ascii="Times New Roman" w:cs="Times New Roman" w:eastAsia="Times New Roman" w:hAnsi="Times New Roman"/>
          <w:sz w:val="20"/>
          <w:szCs w:val="20"/>
          <w:color w:val="auto"/>
        </w:rPr>
      </w:pPr>
    </w:p>
    <w:p>
      <w:pPr>
        <w:ind w:left="1760" w:hanging="442"/>
        <w:spacing w:after="0"/>
        <w:tabs>
          <w:tab w:leader="none" w:pos="176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million upon the execution of this Amendment No. 2;</w:t>
      </w:r>
    </w:p>
    <w:p>
      <w:pPr>
        <w:spacing w:after="0" w:line="107" w:lineRule="exact"/>
        <w:rPr>
          <w:rFonts w:ascii="Times New Roman" w:cs="Times New Roman" w:eastAsia="Times New Roman" w:hAnsi="Times New Roman"/>
          <w:sz w:val="20"/>
          <w:szCs w:val="20"/>
          <w:color w:val="auto"/>
        </w:rPr>
      </w:pPr>
    </w:p>
    <w:p>
      <w:pPr>
        <w:ind w:left="1760" w:hanging="442"/>
        <w:spacing w:after="0" w:line="311" w:lineRule="auto"/>
        <w:tabs>
          <w:tab w:leader="none" w:pos="176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million each within thirty (30) days after receiving an invoice from Arcturus for January 1, April 1, July 1, and October 1, 2020, respectively, to allow Arcturus to complete the goals set forth in Exhibit B-2; and</w:t>
      </w:r>
    </w:p>
    <w:p>
      <w:pPr>
        <w:spacing w:after="0" w:line="160" w:lineRule="exact"/>
        <w:rPr>
          <w:rFonts w:ascii="Times New Roman" w:cs="Times New Roman" w:eastAsia="Times New Roman" w:hAnsi="Times New Roman"/>
          <w:sz w:val="20"/>
          <w:szCs w:val="20"/>
          <w:color w:val="auto"/>
        </w:rPr>
      </w:pPr>
    </w:p>
    <w:p>
      <w:pPr>
        <w:jc w:val="both"/>
        <w:ind w:left="1300" w:hanging="428"/>
        <w:spacing w:after="0" w:line="296"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million within thirty (30) days after receiving an invoice (on or about November 15, 2020), to allow Arcturus to complete the Good Manufacturing Practice (“GMP”) activities included in Exhibit A-2 budget, and an IND application has been opened. This $3 million payment will be reduced by the Prior Award.</w:t>
      </w:r>
    </w:p>
    <w:p>
      <w:pPr>
        <w:spacing w:after="0" w:line="175" w:lineRule="exact"/>
        <w:rPr>
          <w:rFonts w:ascii="Times New Roman" w:cs="Times New Roman" w:eastAsia="Times New Roman" w:hAnsi="Times New Roman"/>
          <w:sz w:val="20"/>
          <w:szCs w:val="20"/>
          <w:color w:val="auto"/>
        </w:rPr>
      </w:pPr>
    </w:p>
    <w:p>
      <w:pPr>
        <w:ind w:left="1300" w:hanging="428"/>
        <w:spacing w:after="0" w:line="311" w:lineRule="auto"/>
        <w:tabs>
          <w:tab w:leader="none" w:pos="13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Arcturus shall provide $5 million (the “Matching Funds”) as required to pay the remaining budgeted costs in accordance with 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4" w:name="page35"/>
    <w:bookmarkEnd w:id="34"/>
    <w:p>
      <w:pPr>
        <w:ind w:left="792" w:hanging="792"/>
        <w:spacing w:after="0"/>
        <w:tabs>
          <w:tab w:leader="none" w:pos="79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Section 2 of Agreement</w:t>
      </w:r>
      <w:r>
        <w:rPr>
          <w:rFonts w:ascii="Times New Roman" w:cs="Times New Roman" w:eastAsia="Times New Roman" w:hAnsi="Times New Roman"/>
          <w:sz w:val="20"/>
          <w:szCs w:val="20"/>
          <w:color w:val="auto"/>
        </w:rPr>
        <w:t>. Section 2 of the Agreement is hereby deleted and the following inserted in lieu thereof:</w:t>
      </w:r>
    </w:p>
    <w:p>
      <w:pPr>
        <w:spacing w:after="0" w:line="216" w:lineRule="exact"/>
        <w:rPr>
          <w:sz w:val="20"/>
          <w:szCs w:val="20"/>
          <w:color w:val="auto"/>
        </w:rPr>
      </w:pPr>
    </w:p>
    <w:p>
      <w:pPr>
        <w:ind w:left="872"/>
        <w:spacing w:after="0"/>
        <w:tabs>
          <w:tab w:leader="none" w:pos="1272" w:val="left"/>
        </w:tabs>
        <w:rPr>
          <w:sz w:val="20"/>
          <w:szCs w:val="20"/>
          <w:color w:val="auto"/>
        </w:rPr>
      </w:pPr>
      <w:r>
        <w:rPr>
          <w:rFonts w:ascii="Times New Roman" w:cs="Times New Roman" w:eastAsia="Times New Roman" w:hAnsi="Times New Roman"/>
          <w:sz w:val="20"/>
          <w:szCs w:val="20"/>
          <w:color w:val="auto"/>
        </w:rPr>
        <w:t>“2.</w:t>
        <w:tab/>
        <w:t>Royalties. In consideration of CFF’s Award under this Agreement and CFF’s license and transfer of intellectual property and</w:t>
      </w:r>
    </w:p>
    <w:p>
      <w:pPr>
        <w:spacing w:after="0" w:line="40"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CFF Know-How pursuant to this Agreement, Arcturus shall pay to CFF the following royalties:</w:t>
      </w:r>
    </w:p>
    <w:p>
      <w:pPr>
        <w:spacing w:after="0" w:line="252" w:lineRule="exact"/>
        <w:rPr>
          <w:sz w:val="20"/>
          <w:szCs w:val="20"/>
          <w:color w:val="auto"/>
        </w:rPr>
      </w:pPr>
    </w:p>
    <w:p>
      <w:pPr>
        <w:jc w:val="both"/>
        <w:ind w:left="1752" w:hanging="442"/>
        <w:spacing w:after="0" w:line="293" w:lineRule="auto"/>
        <w:tabs>
          <w:tab w:leader="none" w:pos="175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of Net Sales of CF Products and the first three (3) Pulmonary Products approved for commercial sale (collectively “Covered Products”) in North America until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Actual Award is payable to CFF; and (ii)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of Net Sales of Covered Products in the European Union (including the United Kingdom (even if it is no longer a member)) until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Actual Award is payable to CFF.</w:t>
      </w:r>
    </w:p>
    <w:p>
      <w:pPr>
        <w:spacing w:after="0" w:line="393" w:lineRule="exact"/>
        <w:rPr>
          <w:rFonts w:ascii="Times New Roman" w:cs="Times New Roman" w:eastAsia="Times New Roman" w:hAnsi="Times New Roman"/>
          <w:sz w:val="20"/>
          <w:szCs w:val="20"/>
          <w:color w:val="auto"/>
        </w:rPr>
      </w:pPr>
    </w:p>
    <w:p>
      <w:pPr>
        <w:ind w:left="1752" w:hanging="442"/>
        <w:spacing w:after="0"/>
        <w:tabs>
          <w:tab w:leader="none" w:pos="175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royalty set forth in subparagraph (a)(i) is fully paid:</w:t>
      </w:r>
    </w:p>
    <w:p>
      <w:pPr>
        <w:spacing w:after="0" w:line="144" w:lineRule="exact"/>
        <w:rPr>
          <w:rFonts w:ascii="Times New Roman" w:cs="Times New Roman" w:eastAsia="Times New Roman" w:hAnsi="Times New Roman"/>
          <w:sz w:val="20"/>
          <w:szCs w:val="20"/>
          <w:color w:val="auto"/>
        </w:rPr>
      </w:pPr>
    </w:p>
    <w:p>
      <w:pPr>
        <w:ind w:left="2172" w:hanging="430"/>
        <w:spacing w:after="0"/>
        <w:tabs>
          <w:tab w:leader="none" w:pos="217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annual Net Sales of Covered Products up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and</w:t>
      </w:r>
    </w:p>
    <w:p>
      <w:pPr>
        <w:spacing w:after="0" w:line="148" w:lineRule="exact"/>
        <w:rPr>
          <w:rFonts w:ascii="Times New Roman" w:cs="Times New Roman" w:eastAsia="Times New Roman" w:hAnsi="Times New Roman"/>
          <w:sz w:val="20"/>
          <w:szCs w:val="20"/>
          <w:color w:val="auto"/>
        </w:rPr>
      </w:pPr>
    </w:p>
    <w:p>
      <w:pPr>
        <w:ind w:left="2172" w:hanging="430"/>
        <w:spacing w:after="0"/>
        <w:tabs>
          <w:tab w:leader="none" w:pos="217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annual Net Sales of Covered Products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jc w:val="both"/>
        <w:ind w:left="1752"/>
        <w:spacing w:after="0" w:line="286" w:lineRule="auto"/>
        <w:rPr>
          <w:sz w:val="20"/>
          <w:szCs w:val="20"/>
          <w:color w:val="auto"/>
        </w:rPr>
      </w:pPr>
      <w:r>
        <w:rPr>
          <w:rFonts w:ascii="Times New Roman" w:cs="Times New Roman" w:eastAsia="Times New Roman" w:hAnsi="Times New Roman"/>
          <w:sz w:val="20"/>
          <w:szCs w:val="20"/>
          <w:color w:val="auto"/>
        </w:rPr>
        <w:t xml:space="preserve">provided that, (A) the royalty rate specified in (i) above shall no longer be applicable and the royalty rate specified in (ii) above shall be applicable to all Net Sales of Covered Products after aggregate Net Sales of Covered Products exceed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and (B) the royalties specified in this subparagraph (b) shall no longer be applicable in a country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CF Product or Pulmonary Product individually after the latest to occur of the following: (X) the date of expiration of the last valid patent claim in such country for such product; (Y) the expiration of the data exclusivity period conferred by a regulatory authority for such product in such country; and (Z) ten (10) years from the date of the first commercial sale of such product in such country.</w:t>
      </w:r>
    </w:p>
    <w:p>
      <w:pPr>
        <w:spacing w:after="0" w:line="188" w:lineRule="exact"/>
        <w:rPr>
          <w:sz w:val="20"/>
          <w:szCs w:val="20"/>
          <w:color w:val="auto"/>
        </w:rPr>
      </w:pPr>
    </w:p>
    <w:p>
      <w:pPr>
        <w:ind w:left="1752" w:hanging="442"/>
        <w:spacing w:after="0"/>
        <w:tabs>
          <w:tab w:leader="none" w:pos="17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products that are neither Covered Products nor OTC Products, that are approved for commercial sale in any country,</w:t>
      </w:r>
    </w:p>
    <w:p>
      <w:pPr>
        <w:spacing w:after="0" w:line="36" w:lineRule="exact"/>
        <w:rPr>
          <w:rFonts w:ascii="Times New Roman" w:cs="Times New Roman" w:eastAsia="Times New Roman" w:hAnsi="Times New Roman"/>
          <w:sz w:val="20"/>
          <w:szCs w:val="20"/>
          <w:color w:val="auto"/>
        </w:rPr>
      </w:pPr>
    </w:p>
    <w:p>
      <w:pPr>
        <w:jc w:val="both"/>
        <w:ind w:left="1752" w:hanging="10"/>
        <w:spacing w:after="0" w:line="293" w:lineRule="auto"/>
        <w:tabs>
          <w:tab w:leader="none" w:pos="2284" w:val="left"/>
        </w:tabs>
        <w:numPr>
          <w:ilvl w:val="1"/>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of annual Net Sales up to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Actual Award. Any amount previously paid to CFF pursuant to this subparagraph (b) shall reduce the amount otherwise payable to CFF pursuant to this subparagraph (c), and any amount paid to CFF pursuant to this subparagraph (c) shall be subtracted from the amount otherwise due to CFF under subparagraph (b).</w:t>
      </w:r>
    </w:p>
    <w:p>
      <w:pPr>
        <w:spacing w:after="0" w:line="177" w:lineRule="exact"/>
        <w:rPr>
          <w:rFonts w:ascii="Times New Roman" w:cs="Times New Roman" w:eastAsia="Times New Roman" w:hAnsi="Times New Roman"/>
          <w:sz w:val="20"/>
          <w:szCs w:val="20"/>
          <w:b w:val="1"/>
          <w:bCs w:val="1"/>
          <w:color w:val="auto"/>
        </w:rPr>
      </w:pPr>
    </w:p>
    <w:p>
      <w:pPr>
        <w:jc w:val="both"/>
        <w:ind w:left="1752" w:hanging="442"/>
        <w:spacing w:after="0" w:line="296" w:lineRule="auto"/>
        <w:tabs>
          <w:tab w:leader="none" w:pos="17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license, sale or other transfer of a Covered Product or Arcturus Development Program Technology (excluding Net Sales) or a Change of Control Transaction (collectively a “Disposition Transaction”), Arcturus and/or its shareholders shall pay to CFF the following (the “Disposition Payment”):</w:t>
      </w:r>
    </w:p>
    <w:p>
      <w:pPr>
        <w:spacing w:after="0" w:line="63" w:lineRule="exact"/>
        <w:rPr>
          <w:sz w:val="20"/>
          <w:szCs w:val="20"/>
          <w:color w:val="auto"/>
        </w:rPr>
      </w:pPr>
    </w:p>
    <w:p>
      <w:pPr>
        <w:ind w:left="2172" w:hanging="430"/>
        <w:spacing w:after="0" w:line="315" w:lineRule="auto"/>
        <w:tabs>
          <w:tab w:leader="none" w:pos="21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Disposition Transaction occurs prior to the first patient being dosed in a Phase 1 study,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of the consideration received by Arcturus and its shareholders up to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Actual Award; and</w:t>
      </w:r>
    </w:p>
    <w:p>
      <w:pPr>
        <w:spacing w:after="0" w:line="48" w:lineRule="exact"/>
        <w:rPr>
          <w:rFonts w:ascii="Times New Roman" w:cs="Times New Roman" w:eastAsia="Times New Roman" w:hAnsi="Times New Roman"/>
          <w:sz w:val="20"/>
          <w:szCs w:val="20"/>
          <w:color w:val="auto"/>
        </w:rPr>
      </w:pPr>
    </w:p>
    <w:p>
      <w:pPr>
        <w:ind w:left="2172" w:hanging="430"/>
        <w:spacing w:after="0" w:line="311" w:lineRule="auto"/>
        <w:tabs>
          <w:tab w:leader="none" w:pos="21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Disposition Transaction occurs on the date or subsequent to the first patient being dosed in a Phase 1 study,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consideration received by Arcturus and its shareholders up to</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the Actual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300990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49" w:right="239" w:bottom="1440" w:gutter="0" w:footer="0" w:header="0"/>
        </w:sectPr>
      </w:pPr>
    </w:p>
    <w:bookmarkStart w:id="35" w:name="page36"/>
    <w:bookmarkEnd w:id="35"/>
    <w:p>
      <w:pPr>
        <w:ind w:left="2180" w:right="20" w:hanging="430"/>
        <w:spacing w:after="0" w:line="311" w:lineRule="auto"/>
        <w:tabs>
          <w:tab w:leader="none" w:pos="21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(i) and (ii) above the consideration received shall include both upfront and subsequent payments. whether received in cash or other property, including equity;</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Disposition Payment shall reduce any amount due to CFF under subparagraphs (a), (b) and (c) until the full amount of the Disposition Payment has been offset against any amount otherwise due to CFF under such subparagraphs. Any Disposition Transaction shall be null and void unless the third-party transferee in such transaction expressly assumes the joint and several obligation of the royalties specified in subparagraphs (a), (b) and (c), as such amount may be reduced in accordance with the preceding sentence.</w:t>
      </w:r>
    </w:p>
    <w:p>
      <w:pPr>
        <w:spacing w:after="0" w:line="180" w:lineRule="exact"/>
        <w:rPr>
          <w:sz w:val="20"/>
          <w:szCs w:val="20"/>
          <w:color w:val="auto"/>
        </w:rPr>
      </w:pPr>
    </w:p>
    <w:p>
      <w:pPr>
        <w:jc w:val="both"/>
        <w:ind w:left="1580" w:hanging="438"/>
        <w:spacing w:after="0" w:line="268" w:lineRule="auto"/>
        <w:tabs>
          <w:tab w:leader="none" w:pos="1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due to CFF under subparagraphs (a), (b) and (c) of this Section 2 shall be reduced proportionately if CFF’s Actual Award is less than $15 million by multiplying the respective percentages set forth in such subparagraphs by a fraction, the numerator of which is the Actual Award, and the denominator of which is $15 million.</w:t>
      </w:r>
    </w:p>
    <w:p>
      <w:pPr>
        <w:spacing w:after="0" w:line="174" w:lineRule="exact"/>
        <w:rPr>
          <w:rFonts w:ascii="Times New Roman" w:cs="Times New Roman" w:eastAsia="Times New Roman" w:hAnsi="Times New Roman"/>
          <w:sz w:val="20"/>
          <w:szCs w:val="20"/>
          <w:color w:val="auto"/>
        </w:rPr>
      </w:pPr>
    </w:p>
    <w:p>
      <w:pPr>
        <w:ind w:left="1580" w:hanging="438"/>
        <w:spacing w:after="0"/>
        <w:tabs>
          <w:tab w:leader="none" w:pos="15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added to the Actual Award for purposes of determining the maximum payments to CFF under subparagraphs (a),</w:t>
      </w:r>
    </w:p>
    <w:p>
      <w:pPr>
        <w:spacing w:after="0" w:line="39" w:lineRule="exact"/>
        <w:rPr>
          <w:rFonts w:ascii="Times New Roman" w:cs="Times New Roman" w:eastAsia="Times New Roman" w:hAnsi="Times New Roman"/>
          <w:sz w:val="19"/>
          <w:szCs w:val="19"/>
          <w:color w:val="auto"/>
        </w:rPr>
      </w:pPr>
    </w:p>
    <w:p>
      <w:pPr>
        <w:ind w:left="1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and (d) the Prior Award.</w:t>
      </w:r>
    </w:p>
    <w:p>
      <w:pPr>
        <w:spacing w:after="0" w:line="213" w:lineRule="exact"/>
        <w:rPr>
          <w:rFonts w:ascii="Times New Roman" w:cs="Times New Roman" w:eastAsia="Times New Roman" w:hAnsi="Times New Roman"/>
          <w:sz w:val="19"/>
          <w:szCs w:val="19"/>
          <w:color w:val="auto"/>
        </w:rPr>
      </w:pPr>
    </w:p>
    <w:p>
      <w:pPr>
        <w:jc w:val="both"/>
        <w:ind w:left="1580" w:hanging="438"/>
        <w:spacing w:after="0" w:line="288" w:lineRule="auto"/>
        <w:tabs>
          <w:tab w:leader="none" w:pos="15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payments to CFF under this Section 2 shall be made within sixty (60) days following: (i) in the case of subparagraphs (a), (b), and (c), the quarter during which the Net Sales giving rise to the payments are made, and (ii) in the case of a Disposition Transaction, any payment that is received by Arcturus and/or its shareholders with respect to a Disposition Transaction.”</w:t>
      </w:r>
    </w:p>
    <w:p>
      <w:pPr>
        <w:spacing w:after="0" w:line="159" w:lineRule="exact"/>
        <w:rPr>
          <w:sz w:val="20"/>
          <w:szCs w:val="20"/>
          <w:color w:val="auto"/>
        </w:rPr>
      </w:pPr>
    </w:p>
    <w:p>
      <w:pPr>
        <w:ind w:left="440" w:hanging="432"/>
        <w:spacing w:after="0" w:line="283" w:lineRule="auto"/>
        <w:tabs>
          <w:tab w:leader="none" w:pos="440" w:val="left"/>
        </w:tabs>
        <w:numPr>
          <w:ilvl w:val="0"/>
          <w:numId w:val="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Amendment to Section 9 of the Agreement</w:t>
      </w:r>
      <w:r>
        <w:rPr>
          <w:rFonts w:ascii="Times New Roman" w:cs="Times New Roman" w:eastAsia="Times New Roman" w:hAnsi="Times New Roman"/>
          <w:sz w:val="20"/>
          <w:szCs w:val="20"/>
          <w:color w:val="auto"/>
        </w:rPr>
        <w:t>. Section 9 of the Agreement is amended by re-designating subparagraph (b) as subparagraph (c), and inserting the following new subparagraph (b):</w:t>
      </w:r>
    </w:p>
    <w:p>
      <w:pPr>
        <w:spacing w:after="0" w:line="52" w:lineRule="exact"/>
        <w:rPr>
          <w:sz w:val="20"/>
          <w:szCs w:val="20"/>
          <w:color w:val="auto"/>
        </w:rPr>
      </w:pPr>
    </w:p>
    <w:p>
      <w:pPr>
        <w:ind w:left="1580" w:hanging="439"/>
        <w:spacing w:after="0" w:line="283" w:lineRule="auto"/>
        <w:tabs>
          <w:tab w:leader="none" w:pos="1560" w:val="left"/>
        </w:tabs>
        <w:rPr>
          <w:sz w:val="20"/>
          <w:szCs w:val="20"/>
          <w:color w:val="auto"/>
        </w:rPr>
      </w:pPr>
      <w:r>
        <w:rPr>
          <w:rFonts w:ascii="Times New Roman" w:cs="Times New Roman" w:eastAsia="Times New Roman" w:hAnsi="Times New Roman"/>
          <w:sz w:val="20"/>
          <w:szCs w:val="20"/>
          <w:color w:val="auto"/>
        </w:rPr>
        <w:t>“(b)</w:t>
        <w:tab/>
        <w:t>CFF may terminate this Agreement without cause effective after the first anniversary of the Amendment No. 2 Effective Date by providing at least thirty (30) days notice to Arcturus.</w:t>
      </w:r>
    </w:p>
    <w:p>
      <w:pPr>
        <w:spacing w:after="0" w:line="160" w:lineRule="exact"/>
        <w:rPr>
          <w:sz w:val="20"/>
          <w:szCs w:val="20"/>
          <w:color w:val="auto"/>
        </w:rPr>
      </w:pPr>
    </w:p>
    <w:p>
      <w:pPr>
        <w:jc w:val="both"/>
        <w:ind w:left="440" w:hanging="432"/>
        <w:spacing w:after="0" w:line="259" w:lineRule="auto"/>
        <w:tabs>
          <w:tab w:leader="none" w:pos="440" w:val="left"/>
        </w:tabs>
        <w:numPr>
          <w:ilvl w:val="0"/>
          <w:numId w:val="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Exhibits A and B attached to the Agreement executed by the parties on May 16, 2017 are no longer applicable and are hereby replaced by revised Exhibits A-2 and B-2 attached to this Amendment No. 2. In the interest of time, Exhibit B-2 is left blank. The parties shall establish reasonable goals for development of the CF Product during 2019 and 2020 against which to measure actual progress at the first meeting of the PAG following the Amendment No. 2 Effective Date and shall agree on a reasonable series of activities that should be completed by Arcturus during such period and set forth such goals in Exhibit B-2 and the timing of Matching Funds. A completed Exhibit B-2 shall be incorporated into this Amendment No. 2 for such purposes immediately after such PAG meeting.</w:t>
      </w:r>
    </w:p>
    <w:p>
      <w:pPr>
        <w:spacing w:after="0" w:line="185" w:lineRule="exact"/>
        <w:rPr>
          <w:rFonts w:ascii="Times New Roman" w:cs="Times New Roman" w:eastAsia="Times New Roman" w:hAnsi="Times New Roman"/>
          <w:sz w:val="20"/>
          <w:szCs w:val="20"/>
          <w:u w:val="single" w:color="auto"/>
          <w:color w:val="auto"/>
        </w:rPr>
      </w:pPr>
    </w:p>
    <w:p>
      <w:pPr>
        <w:ind w:left="440" w:hanging="432"/>
        <w:spacing w:after="0"/>
        <w:tabs>
          <w:tab w:leader="none" w:pos="440" w:val="left"/>
        </w:tabs>
        <w:numPr>
          <w:ilvl w:val="0"/>
          <w:numId w:val="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Amendment to Section 12 of the Agreement</w:t>
      </w:r>
      <w:r>
        <w:rPr>
          <w:rFonts w:ascii="Times New Roman" w:cs="Times New Roman" w:eastAsia="Times New Roman" w:hAnsi="Times New Roman"/>
          <w:sz w:val="20"/>
          <w:szCs w:val="20"/>
          <w:color w:val="auto"/>
        </w:rPr>
        <w:t>. The following definitions are amended or inserted as follows:</w:t>
      </w:r>
    </w:p>
    <w:p>
      <w:pPr>
        <w:spacing w:after="0" w:line="121" w:lineRule="exact"/>
        <w:rPr>
          <w:rFonts w:ascii="Times New Roman" w:cs="Times New Roman" w:eastAsia="Times New Roman" w:hAnsi="Times New Roman"/>
          <w:sz w:val="20"/>
          <w:szCs w:val="20"/>
          <w:u w:val="single" w:color="auto"/>
          <w:color w:val="auto"/>
        </w:rPr>
      </w:pPr>
    </w:p>
    <w:p>
      <w:pPr>
        <w:ind w:left="1540" w:hanging="425"/>
        <w:spacing w:after="0"/>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Award” means the total amount of the Award actually paid to Arcturus excluding the Prior Award.</w:t>
      </w:r>
    </w:p>
    <w:p>
      <w:pPr>
        <w:spacing w:after="0" w:line="121" w:lineRule="exact"/>
        <w:rPr>
          <w:rFonts w:ascii="Times New Roman" w:cs="Times New Roman" w:eastAsia="Times New Roman" w:hAnsi="Times New Roman"/>
          <w:sz w:val="20"/>
          <w:szCs w:val="20"/>
          <w:color w:val="auto"/>
        </w:rPr>
      </w:pPr>
    </w:p>
    <w:p>
      <w:pPr>
        <w:jc w:val="both"/>
        <w:ind w:left="1540" w:hanging="425"/>
        <w:spacing w:after="0" w:line="263" w:lineRule="auto"/>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“CF Product” shall mean native or chemically modified ribonucleotide sequence of cystic fibrosis transmembrane conductance regulator in any form, dosage or preparation in finished form, any derivative or combination product, and any successor product containing Arcturus Development Program Technology for treatment of lung disease, disorder, or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6" w:name="page37"/>
    <w:bookmarkEnd w:id="36"/>
    <w:p>
      <w:pPr>
        <w:ind w:left="1540" w:hanging="425"/>
        <w:spacing w:after="0"/>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Product” shall have the meaning set forth in Section 2(a)(i).</w:t>
      </w:r>
    </w:p>
    <w:p>
      <w:pPr>
        <w:spacing w:after="0" w:line="67" w:lineRule="exact"/>
        <w:rPr>
          <w:rFonts w:ascii="Times New Roman" w:cs="Times New Roman" w:eastAsia="Times New Roman" w:hAnsi="Times New Roman"/>
          <w:sz w:val="20"/>
          <w:szCs w:val="20"/>
          <w:color w:val="auto"/>
        </w:rPr>
      </w:pPr>
    </w:p>
    <w:p>
      <w:pPr>
        <w:ind w:left="1540" w:hanging="425"/>
        <w:spacing w:after="0"/>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“Matching Funds” shall have the meaning set forth in Section 1(b) of Amendment No. 2.</w:t>
      </w:r>
    </w:p>
    <w:p>
      <w:pPr>
        <w:spacing w:after="0" w:line="107" w:lineRule="exact"/>
        <w:rPr>
          <w:rFonts w:ascii="Times New Roman" w:cs="Times New Roman" w:eastAsia="Times New Roman" w:hAnsi="Times New Roman"/>
          <w:sz w:val="20"/>
          <w:szCs w:val="20"/>
          <w:color w:val="auto"/>
        </w:rPr>
      </w:pPr>
    </w:p>
    <w:p>
      <w:pPr>
        <w:jc w:val="both"/>
        <w:ind w:left="1540" w:hanging="425"/>
        <w:spacing w:after="0" w:line="291" w:lineRule="auto"/>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“OTC Product” means native or chemically modified ribonucleontide sequence of ornithine transcarbamylase protein in any form, dosage or preparation in finished form, any derivative or combination product, or any successor product of the treatment of ornithine transcarbamylase deficiency, ornithine carbarmyltransferase deficiency, or hyperammonemia due to ornithine transcarbamylase deficiency.</w:t>
      </w:r>
    </w:p>
    <w:p>
      <w:pPr>
        <w:spacing w:after="0" w:line="73" w:lineRule="exact"/>
        <w:rPr>
          <w:rFonts w:ascii="Times New Roman" w:cs="Times New Roman" w:eastAsia="Times New Roman" w:hAnsi="Times New Roman"/>
          <w:sz w:val="20"/>
          <w:szCs w:val="20"/>
          <w:color w:val="auto"/>
        </w:rPr>
      </w:pPr>
    </w:p>
    <w:p>
      <w:pPr>
        <w:jc w:val="both"/>
        <w:ind w:left="1540" w:hanging="425"/>
        <w:spacing w:after="0" w:line="296" w:lineRule="auto"/>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“Net Sales”: (i) for purposes of calculating the royalty specified in Section 2(c) (as amended by this Amendment No. 2) shall be calculated by reference solely to Net Sales of products that are subject to the royalty specified in such Section 2(c); and (ii) the term “in the Field” shall be deleted in such definition.</w:t>
      </w:r>
    </w:p>
    <w:p>
      <w:pPr>
        <w:spacing w:after="0" w:line="26" w:lineRule="exact"/>
        <w:rPr>
          <w:rFonts w:ascii="Times New Roman" w:cs="Times New Roman" w:eastAsia="Times New Roman" w:hAnsi="Times New Roman"/>
          <w:sz w:val="20"/>
          <w:szCs w:val="20"/>
          <w:color w:val="auto"/>
        </w:rPr>
      </w:pPr>
    </w:p>
    <w:p>
      <w:pPr>
        <w:ind w:left="1540" w:hanging="425"/>
        <w:spacing w:after="0"/>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Award” means $934,983.</w:t>
      </w:r>
    </w:p>
    <w:p>
      <w:pPr>
        <w:spacing w:after="0" w:line="107" w:lineRule="exact"/>
        <w:rPr>
          <w:rFonts w:ascii="Times New Roman" w:cs="Times New Roman" w:eastAsia="Times New Roman" w:hAnsi="Times New Roman"/>
          <w:sz w:val="20"/>
          <w:szCs w:val="20"/>
          <w:color w:val="auto"/>
        </w:rPr>
      </w:pPr>
    </w:p>
    <w:p>
      <w:pPr>
        <w:jc w:val="both"/>
        <w:ind w:left="1540" w:hanging="425"/>
        <w:spacing w:after="0" w:line="291" w:lineRule="auto"/>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shall be deleted in the Agreement wherever it appears and the following inserted in lieu thereof: (i) as provided in this Amendment No. 2 in connection with Section 2 of the Agreement; (ii) with the term “CF Product” in all other places in the Agreement except as provided in (iii) and (iv) as follows: (iii) with the phrase “CF Product and Pulmonary Product” sections: 6, 7, 8, and (iv) in the definition of “Net Sales” with “Covered Products”.</w:t>
      </w:r>
    </w:p>
    <w:p>
      <w:pPr>
        <w:spacing w:after="0" w:line="73" w:lineRule="exact"/>
        <w:rPr>
          <w:rFonts w:ascii="Times New Roman" w:cs="Times New Roman" w:eastAsia="Times New Roman" w:hAnsi="Times New Roman"/>
          <w:sz w:val="20"/>
          <w:szCs w:val="20"/>
          <w:color w:val="auto"/>
        </w:rPr>
      </w:pPr>
    </w:p>
    <w:p>
      <w:pPr>
        <w:jc w:val="both"/>
        <w:ind w:left="1540" w:hanging="425"/>
        <w:spacing w:after="0" w:line="296" w:lineRule="auto"/>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“Pulmonary Product” shall mean native or chemically modified ribonucleotide sequence of a mammalian protein in any form, dosage or preparation in finished form, any derivative or combination product, or any successor product containing Arcturus Development Program Technology for treatment of lung disease, disorder, or syndrome.</w:t>
      </w:r>
    </w:p>
    <w:p>
      <w:pPr>
        <w:spacing w:after="0" w:line="26" w:lineRule="exact"/>
        <w:rPr>
          <w:rFonts w:ascii="Times New Roman" w:cs="Times New Roman" w:eastAsia="Times New Roman" w:hAnsi="Times New Roman"/>
          <w:sz w:val="20"/>
          <w:szCs w:val="20"/>
          <w:color w:val="auto"/>
        </w:rPr>
      </w:pPr>
    </w:p>
    <w:p>
      <w:pPr>
        <w:ind w:left="1540" w:hanging="425"/>
        <w:spacing w:after="0"/>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“Royalty Cap” is deleted.</w:t>
      </w:r>
    </w:p>
    <w:p>
      <w:pPr>
        <w:spacing w:after="0" w:line="67" w:lineRule="exact"/>
        <w:rPr>
          <w:rFonts w:ascii="Times New Roman" w:cs="Times New Roman" w:eastAsia="Times New Roman" w:hAnsi="Times New Roman"/>
          <w:sz w:val="20"/>
          <w:szCs w:val="20"/>
          <w:color w:val="auto"/>
        </w:rPr>
      </w:pPr>
    </w:p>
    <w:p>
      <w:pPr>
        <w:ind w:left="1540" w:hanging="425"/>
        <w:spacing w:after="0"/>
        <w:tabs>
          <w:tab w:leader="none" w:pos="15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“Surviving Royalties” is deleted.</w:t>
      </w:r>
    </w:p>
    <w:p>
      <w:pPr>
        <w:spacing w:after="0" w:line="215" w:lineRule="exact"/>
        <w:rPr>
          <w:rFonts w:ascii="Times New Roman" w:cs="Times New Roman" w:eastAsia="Times New Roman" w:hAnsi="Times New Roman"/>
          <w:sz w:val="20"/>
          <w:szCs w:val="20"/>
          <w:color w:val="auto"/>
        </w:rPr>
      </w:pPr>
    </w:p>
    <w:p>
      <w:pPr>
        <w:ind w:left="440" w:right="20" w:hanging="432"/>
        <w:spacing w:after="0" w:line="311" w:lineRule="auto"/>
        <w:tabs>
          <w:tab w:leader="none" w:pos="44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References to CFFT</w:t>
      </w:r>
      <w:r>
        <w:rPr>
          <w:rFonts w:ascii="Times New Roman" w:cs="Times New Roman" w:eastAsia="Times New Roman" w:hAnsi="Times New Roman"/>
          <w:sz w:val="20"/>
          <w:szCs w:val="20"/>
          <w:color w:val="auto"/>
        </w:rPr>
        <w:t>. All references to “Cystic Fibrosis Foundation Therapeutics, Inc” and “CFFT” shall be deleted from the Agreement, and the “Cystic Fibrosis Foundation” and “CFF”, respectively, shall be inserted, in lieu thereof.</w:t>
      </w:r>
    </w:p>
    <w:p>
      <w:pPr>
        <w:spacing w:after="0" w:line="160" w:lineRule="exact"/>
        <w:rPr>
          <w:rFonts w:ascii="Times New Roman" w:cs="Times New Roman" w:eastAsia="Times New Roman" w:hAnsi="Times New Roman"/>
          <w:sz w:val="20"/>
          <w:szCs w:val="20"/>
          <w:u w:val="single" w:color="auto"/>
          <w:color w:val="auto"/>
        </w:rPr>
      </w:pPr>
    </w:p>
    <w:p>
      <w:pPr>
        <w:ind w:left="440" w:right="100" w:hanging="432"/>
        <w:spacing w:after="0" w:line="311" w:lineRule="auto"/>
        <w:tabs>
          <w:tab w:leader="none" w:pos="44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Continuing Effect</w:t>
      </w:r>
      <w:r>
        <w:rPr>
          <w:rFonts w:ascii="Times New Roman" w:cs="Times New Roman" w:eastAsia="Times New Roman" w:hAnsi="Times New Roman"/>
          <w:sz w:val="20"/>
          <w:szCs w:val="20"/>
          <w:color w:val="auto"/>
        </w:rPr>
        <w:t>. Except as set forth in this Amendment No. 2, the Agreement shall remain in full force and effect and capitalized terms shall have the same meaning as ascribed to such terms in the Agreement.</w:t>
      </w:r>
    </w:p>
    <w:p>
      <w:pPr>
        <w:spacing w:after="0" w:line="160" w:lineRule="exact"/>
        <w:rPr>
          <w:rFonts w:ascii="Times New Roman" w:cs="Times New Roman" w:eastAsia="Times New Roman" w:hAnsi="Times New Roman"/>
          <w:sz w:val="20"/>
          <w:szCs w:val="20"/>
          <w:u w:val="single" w:color="auto"/>
          <w:color w:val="auto"/>
        </w:rPr>
      </w:pPr>
    </w:p>
    <w:p>
      <w:pPr>
        <w:ind w:left="440" w:right="180" w:hanging="432"/>
        <w:spacing w:after="0" w:line="311" w:lineRule="auto"/>
        <w:tabs>
          <w:tab w:leader="none" w:pos="44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No. 2 may be executed in any number of counterparts, each of which shall be an original instrument and all of which, when taken together shall constitute one and the same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have executed this Amendment No. 2 as of the Amendment No. 2 Effective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Cystic Fibrosis Foundation</w:t>
            </w: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Arcturus Therapeutics, Inc.</w:t>
            </w:r>
          </w:p>
        </w:tc>
        <w:tc>
          <w:tcPr>
            <w:tcW w:w="0" w:type="dxa"/>
            <w:vAlign w:val="bottom"/>
          </w:tcPr>
          <w:p>
            <w:pPr>
              <w:spacing w:after="0"/>
              <w:rPr>
                <w:sz w:val="1"/>
                <w:szCs w:val="1"/>
                <w:color w:val="auto"/>
              </w:rPr>
            </w:pPr>
          </w:p>
        </w:tc>
      </w:tr>
      <w:tr>
        <w:trPr>
          <w:trHeight w:val="453"/>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Vera Twigg</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Joseph E. Payne</w:t>
            </w:r>
          </w:p>
        </w:tc>
        <w:tc>
          <w:tcPr>
            <w:tcW w:w="0" w:type="dxa"/>
            <w:vAlign w:val="bottom"/>
          </w:tcPr>
          <w:p>
            <w:pPr>
              <w:spacing w:after="0"/>
              <w:rPr>
                <w:sz w:val="1"/>
                <w:szCs w:val="1"/>
                <w:color w:val="auto"/>
              </w:rPr>
            </w:pPr>
          </w:p>
        </w:tc>
      </w:tr>
      <w:tr>
        <w:trPr>
          <w:trHeight w:val="200"/>
        </w:trPr>
        <w:tc>
          <w:tcPr>
            <w:tcW w:w="840" w:type="dxa"/>
            <w:vAlign w:val="bottom"/>
            <w:vMerge w:val="continue"/>
          </w:tcPr>
          <w:p>
            <w:pPr>
              <w:spacing w:after="0"/>
              <w:rPr>
                <w:sz w:val="17"/>
                <w:szCs w:val="17"/>
                <w:color w:val="auto"/>
              </w:rPr>
            </w:pPr>
          </w:p>
        </w:tc>
        <w:tc>
          <w:tcPr>
            <w:tcW w:w="4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Vera Twigg</w:t>
            </w:r>
          </w:p>
        </w:tc>
        <w:tc>
          <w:tcPr>
            <w:tcW w:w="920" w:type="dxa"/>
            <w:vAlign w:val="bottom"/>
            <w:vMerge w:val="continue"/>
          </w:tcPr>
          <w:p>
            <w:pPr>
              <w:spacing w:after="0"/>
              <w:rPr>
                <w:sz w:val="17"/>
                <w:szCs w:val="17"/>
                <w:color w:val="auto"/>
              </w:rPr>
            </w:pPr>
          </w:p>
        </w:tc>
        <w:tc>
          <w:tcPr>
            <w:tcW w:w="48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Joseph E. Payne</w:t>
            </w:r>
          </w:p>
        </w:tc>
        <w:tc>
          <w:tcPr>
            <w:tcW w:w="0" w:type="dxa"/>
            <w:vAlign w:val="bottom"/>
          </w:tcPr>
          <w:p>
            <w:pPr>
              <w:spacing w:after="0"/>
              <w:rPr>
                <w:sz w:val="1"/>
                <w:szCs w:val="1"/>
                <w:color w:val="auto"/>
              </w:rPr>
            </w:pP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EVP &amp; CFO</w:t>
            </w:r>
          </w:p>
        </w:tc>
        <w:tc>
          <w:tcPr>
            <w:tcW w:w="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President &amp; CEO</w:t>
            </w:r>
          </w:p>
        </w:tc>
        <w:tc>
          <w:tcPr>
            <w:tcW w:w="0" w:type="dxa"/>
            <w:vAlign w:val="bottom"/>
          </w:tcPr>
          <w:p>
            <w:pPr>
              <w:spacing w:after="0"/>
              <w:rPr>
                <w:sz w:val="1"/>
                <w:szCs w:val="1"/>
                <w:color w:val="auto"/>
              </w:rPr>
            </w:pPr>
          </w:p>
        </w:tc>
      </w:tr>
      <w:tr>
        <w:trPr>
          <w:trHeight w:val="683"/>
        </w:trPr>
        <w:tc>
          <w:tcPr>
            <w:tcW w:w="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 Gegelys</w:t>
            </w:r>
          </w:p>
        </w:tc>
        <w:tc>
          <w:tcPr>
            <w:tcW w:w="9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40" w:type="dxa"/>
            <w:vAlign w:val="bottom"/>
            <w:vMerge w:val="continue"/>
          </w:tcPr>
          <w:p>
            <w:pPr>
              <w:spacing w:after="0"/>
              <w:rPr>
                <w:sz w:val="17"/>
                <w:szCs w:val="17"/>
                <w:color w:val="auto"/>
              </w:rPr>
            </w:pPr>
          </w:p>
        </w:tc>
        <w:tc>
          <w:tcPr>
            <w:tcW w:w="47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Chris Gegelys</w:t>
            </w:r>
          </w:p>
        </w:tc>
        <w:tc>
          <w:tcPr>
            <w:tcW w:w="9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SVP &amp; Chief Legal Officer</w:t>
            </w:r>
          </w:p>
        </w:tc>
        <w:tc>
          <w:tcPr>
            <w:tcW w:w="9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1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REDACTED</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Certain identified information, indicated by [***], has been excluded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from the exhibit because it is both (i) not material and (ii) would likely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cause competitive harm if publicly disclosed.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THIS THIRD AMENDMENT (this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to the Development and Option Agreement dated January 1, 2018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highlight w:val="white"/>
        </w:rPr>
        <w:t>”), is entered into by and between CureVac AG, a German stock corporation with offices at Paul-</w:t>
      </w:r>
      <w:r>
        <w:rPr>
          <w:rFonts w:ascii="Times New Roman" w:cs="Times New Roman" w:eastAsia="Times New Roman" w:hAnsi="Times New Roman"/>
          <w:sz w:val="22"/>
          <w:szCs w:val="22"/>
          <w:color w:val="auto"/>
        </w:rPr>
        <w:t>Ehrlich-Strasse 15, 72076 Tubingen, Germany (“</w:t>
      </w:r>
      <w:r>
        <w:rPr>
          <w:rFonts w:ascii="Times New Roman" w:cs="Times New Roman" w:eastAsia="Times New Roman" w:hAnsi="Times New Roman"/>
          <w:sz w:val="22"/>
          <w:szCs w:val="22"/>
          <w:u w:val="single" w:color="auto"/>
          <w:color w:val="auto"/>
        </w:rPr>
        <w:t>CureVac</w:t>
      </w:r>
      <w:r>
        <w:rPr>
          <w:rFonts w:ascii="Times New Roman" w:cs="Times New Roman" w:eastAsia="Times New Roman" w:hAnsi="Times New Roman"/>
          <w:sz w:val="22"/>
          <w:szCs w:val="22"/>
          <w:color w:val="auto"/>
        </w:rPr>
        <w:t>”), and Arcturus Therapeutics Inc., a Delaware corporation with offices at 10628 Science Center Drive #200, San Diego, CA 92121, USA (“</w:t>
      </w:r>
      <w:r>
        <w:rPr>
          <w:rFonts w:ascii="Times New Roman" w:cs="Times New Roman" w:eastAsia="Times New Roman" w:hAnsi="Times New Roman"/>
          <w:sz w:val="22"/>
          <w:szCs w:val="22"/>
          <w:u w:val="single" w:color="auto"/>
          <w:color w:val="auto"/>
        </w:rPr>
        <w:t>Arcturus</w:t>
      </w:r>
      <w:r>
        <w:rPr>
          <w:rFonts w:ascii="Times New Roman" w:cs="Times New Roman" w:eastAsia="Times New Roman" w:hAnsi="Times New Roman"/>
          <w:sz w:val="22"/>
          <w:szCs w:val="22"/>
          <w:color w:val="auto"/>
        </w:rPr>
        <w:t>”; each of CureVac and Arcturus individually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and together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as of July 26, 2019 (the “</w:t>
      </w:r>
      <w:r>
        <w:rPr>
          <w:rFonts w:ascii="Times New Roman" w:cs="Times New Roman" w:eastAsia="Times New Roman" w:hAnsi="Times New Roman"/>
          <w:sz w:val="22"/>
          <w:szCs w:val="22"/>
          <w:u w:val="single" w:color="auto"/>
          <w:color w:val="auto"/>
        </w:rPr>
        <w:t>Third Amendment Date</w:t>
      </w:r>
      <w:r>
        <w:rPr>
          <w:rFonts w:ascii="Times New Roman" w:cs="Times New Roman" w:eastAsia="Times New Roman" w:hAnsi="Times New Roman"/>
          <w:sz w:val="22"/>
          <w:szCs w:val="22"/>
          <w:color w:val="auto"/>
          <w:highlight w:val="white"/>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WHEREAS, the Parties have previously amended the Original Agreement by (i) a first amendment dated May 3, 2018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highlight w:val="white"/>
        </w:rPr>
        <w:t>”) and (ii) a second amendment amending and restating the First Amendment in its entirety dated September</w:t>
      </w:r>
      <w:r>
        <w:rPr>
          <w:rFonts w:ascii="Times New Roman" w:cs="Times New Roman" w:eastAsia="Times New Roman" w:hAnsi="Times New Roman"/>
          <w:sz w:val="22"/>
          <w:szCs w:val="22"/>
          <w:color w:val="auto"/>
        </w:rPr>
        <w:t xml:space="preserve"> 28, 2018 (the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highlight w:val="white"/>
        </w:rPr>
        <w:t>”; the Original Agreement, as amended to the date hereof by the First Amendment and the</w:t>
      </w:r>
      <w:r>
        <w:rPr>
          <w:rFonts w:ascii="Times New Roman" w:cs="Times New Roman" w:eastAsia="Times New Roman" w:hAnsi="Times New Roman"/>
          <w:sz w:val="22"/>
          <w:szCs w:val="22"/>
          <w:color w:val="auto"/>
        </w:rPr>
        <w:t xml:space="preserve"> Second Amendment, being referred to as the “</w:t>
      </w:r>
      <w:r>
        <w:rPr>
          <w:rFonts w:ascii="Times New Roman" w:cs="Times New Roman" w:eastAsia="Times New Roman" w:hAnsi="Times New Roman"/>
          <w:sz w:val="22"/>
          <w:szCs w:val="22"/>
          <w:u w:val="single" w:color="auto"/>
          <w:color w:val="auto"/>
        </w:rPr>
        <w:t>Development and Option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WHEREAS, the Parties desire to amend the Development and Option Agreement effective as of the Third Amendment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and the promises and mutual agreements contained in this Third Amendment, and for other good and valuable consideration, the receipt and sufficiency of which is hereby acknowledged, and intending to be legally bound, the Parties agree as follows:</w:t>
      </w:r>
    </w:p>
    <w:p>
      <w:pPr>
        <w:spacing w:after="0" w:line="170" w:lineRule="exact"/>
        <w:rPr>
          <w:sz w:val="20"/>
          <w:szCs w:val="20"/>
          <w:color w:val="auto"/>
        </w:rPr>
      </w:pPr>
    </w:p>
    <w:p>
      <w:pPr>
        <w:ind w:left="880" w:hanging="872"/>
        <w:spacing w:after="0"/>
        <w:tabs>
          <w:tab w:leader="none" w:pos="88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DELETION OF SECTION 5 AND SECTION 6 OF THE SECOND AMENDMENT</w:t>
      </w:r>
    </w:p>
    <w:p>
      <w:pPr>
        <w:spacing w:after="0" w:line="210" w:lineRule="exact"/>
        <w:rPr>
          <w:sz w:val="20"/>
          <w:szCs w:val="20"/>
          <w:color w:val="auto"/>
        </w:rPr>
      </w:pPr>
    </w:p>
    <w:p>
      <w:pPr>
        <w:jc w:val="both"/>
        <w:ind w:left="880" w:hanging="872"/>
        <w:spacing w:after="0" w:line="244" w:lineRule="auto"/>
        <w:tabs>
          <w:tab w:leader="none" w:pos="8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5 of the Second Amendment is hereby deleted in its entirety and shall have no further force and effect. Section 3.2(a) of the Original Agreement shall be restored as to its substance from and after the Third Amendment Date, and, for clarification purposes, is hereby amended and restated as follows:</w:t>
      </w:r>
    </w:p>
    <w:p>
      <w:pPr>
        <w:spacing w:after="0" w:line="167" w:lineRule="exact"/>
        <w:rPr>
          <w:rFonts w:ascii="Times New Roman" w:cs="Times New Roman" w:eastAsia="Times New Roman" w:hAnsi="Times New Roman"/>
          <w:sz w:val="20"/>
          <w:szCs w:val="20"/>
          <w:color w:val="auto"/>
        </w:rPr>
      </w:pPr>
    </w:p>
    <w:p>
      <w:pPr>
        <w:jc w:val="both"/>
        <w:ind w:left="88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Generally.</w:t>
      </w:r>
      <w:r>
        <w:rPr>
          <w:rFonts w:ascii="Times New Roman" w:cs="Times New Roman" w:eastAsia="Times New Roman" w:hAnsi="Times New Roman"/>
          <w:sz w:val="22"/>
          <w:szCs w:val="22"/>
          <w:color w:val="auto"/>
        </w:rPr>
        <w:t xml:space="preserve"> Arcturus will perform the Work under the Work Plan, and as part of the Program CureVac will fund up to three (3) scientists per year at Arcturus to perform the Work as defined and in accordance with the Work Plan for a period of up to twenty-four (24) months beginning at the Third Amendment Date at the FTE Costs. The Parties may agree to extend the performance of Work by Arcturus for an additional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9" w:name="page40"/>
    <w:bookmarkEnd w:id="39"/>
    <w:p>
      <w:pPr>
        <w:jc w:val="both"/>
        <w:ind w:left="880" w:hanging="872"/>
        <w:spacing w:after="0" w:line="239" w:lineRule="auto"/>
        <w:tabs>
          <w:tab w:leader="none" w:pos="8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Section 6 of the Second Amendment is hereby deleted in its entirety and shall have no further force and effect. Section 4.2(d)(ii) (Maximum Number Reserved Targets) and Section 5.1(a) (Maximum Options) of the Original Agreement are hereby restored with the effect that the maximum number of Reserved Targets and the total number of Options to enter into a maximum number of licenses under the Arcturus LMD Technology are reduced from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820" w:hanging="812"/>
        <w:spacing w:after="0"/>
        <w:tabs>
          <w:tab w:leader="none" w:pos="82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OF ARTICLE 9 OF THE DEVELOPMENT AND OPTION AGREEMENT</w:t>
      </w:r>
    </w:p>
    <w:p>
      <w:pPr>
        <w:spacing w:after="0" w:line="210" w:lineRule="exact"/>
        <w:rPr>
          <w:sz w:val="20"/>
          <w:szCs w:val="20"/>
          <w:color w:val="auto"/>
        </w:rPr>
      </w:pPr>
    </w:p>
    <w:p>
      <w:pPr>
        <w:ind w:left="880" w:hanging="872"/>
        <w:spacing w:after="0" w:line="258" w:lineRule="auto"/>
        <w:tabs>
          <w:tab w:leader="none" w:pos="8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9.1(a) and Section 9.1 (b) of the Development and Option Agreement are hereby amended and restated in their entirety as follows:</w:t>
      </w:r>
    </w:p>
    <w:p>
      <w:pPr>
        <w:spacing w:after="0" w:line="154" w:lineRule="exact"/>
        <w:rPr>
          <w:rFonts w:ascii="Times New Roman" w:cs="Times New Roman" w:eastAsia="Times New Roman" w:hAnsi="Times New Roman"/>
          <w:sz w:val="20"/>
          <w:szCs w:val="20"/>
          <w:color w:val="auto"/>
        </w:rPr>
      </w:pPr>
    </w:p>
    <w:p>
      <w:pPr>
        <w:jc w:val="both"/>
        <w:ind w:left="8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This Agreement will commence as of the Effective Date and, unless sooner terminated or extended in accordance with the terms hereof or by mutual written consent, will continue for a period of four (4) years from the Third Amendment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as may be extended pursuant to Section 9.1(b),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0"/>
          <w:szCs w:val="20"/>
          <w:color w:val="auto"/>
        </w:rPr>
      </w:pPr>
    </w:p>
    <w:p>
      <w:pPr>
        <w:jc w:val="both"/>
        <w:ind w:left="880" w:firstLine="5"/>
        <w:spacing w:after="0" w:line="255" w:lineRule="auto"/>
        <w:tabs>
          <w:tab w:leader="none" w:pos="1792" w:val="left"/>
        </w:tabs>
        <w:numPr>
          <w:ilvl w:val="1"/>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At any time during the Initial Term, CureVac shall have the option to extend the Initial Term for eighteen (18) months, by providing written notice to Arcturus, subject to payment by CureVac to Arcturus of a non-refundable extension fee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1"/>
          <w:szCs w:val="21"/>
          <w:color w:val="auto"/>
        </w:rPr>
        <w:t xml:space="preserve">, payable within fifteen (15) Business Days after notice of the exercise of such option. If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1"/>
          <w:szCs w:val="21"/>
          <w:color w:val="auto"/>
        </w:rPr>
        <w:t xml:space="preserve"> payment is not made within such fifteen (15) Business Day period the Term will be the Initial Term without extension.”</w:t>
      </w:r>
    </w:p>
    <w:p>
      <w:pPr>
        <w:spacing w:after="0" w:line="162" w:lineRule="exact"/>
        <w:rPr>
          <w:rFonts w:ascii="Times New Roman" w:cs="Times New Roman" w:eastAsia="Times New Roman" w:hAnsi="Times New Roman"/>
          <w:sz w:val="21"/>
          <w:szCs w:val="21"/>
          <w:b w:val="1"/>
          <w:bCs w:val="1"/>
          <w:color w:val="auto"/>
        </w:rPr>
      </w:pPr>
    </w:p>
    <w:p>
      <w:pPr>
        <w:ind w:left="880" w:hanging="872"/>
        <w:spacing w:after="0" w:line="258" w:lineRule="auto"/>
        <w:tabs>
          <w:tab w:leader="none" w:pos="8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9.1(c) of the Development and Option Agreement is hereby amended and restated in its entirety as “Intentionally Omitted”.</w:t>
      </w:r>
    </w:p>
    <w:p>
      <w:pPr>
        <w:spacing w:after="0" w:line="158" w:lineRule="exact"/>
        <w:rPr>
          <w:rFonts w:ascii="Times New Roman" w:cs="Times New Roman" w:eastAsia="Times New Roman" w:hAnsi="Times New Roman"/>
          <w:sz w:val="20"/>
          <w:szCs w:val="20"/>
          <w:color w:val="auto"/>
        </w:rPr>
      </w:pPr>
    </w:p>
    <w:p>
      <w:pPr>
        <w:ind w:left="880" w:hanging="872"/>
        <w:spacing w:after="0" w:line="258" w:lineRule="auto"/>
        <w:tabs>
          <w:tab w:leader="none" w:pos="8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9.2, first paragraph of the Development and Option Agreement is hereby amended and restated in its entirety as follows:</w:t>
      </w:r>
    </w:p>
    <w:p>
      <w:pPr>
        <w:spacing w:after="0" w:line="154"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(9.2)</w:t>
      </w:r>
      <w:r>
        <w:rPr>
          <w:rFonts w:ascii="Times New Roman" w:cs="Times New Roman" w:eastAsia="Times New Roman" w:hAnsi="Times New Roman"/>
          <w:sz w:val="21"/>
          <w:szCs w:val="21"/>
          <w:b w:val="1"/>
          <w:bCs w:val="1"/>
          <w:u w:val="single" w:color="auto"/>
          <w:color w:val="auto"/>
        </w:rPr>
        <w:t>Termination by CureVac</w:t>
      </w:r>
      <w:r>
        <w:rPr>
          <w:rFonts w:ascii="Times New Roman" w:cs="Times New Roman" w:eastAsia="Times New Roman" w:hAnsi="Times New Roman"/>
          <w:sz w:val="21"/>
          <w:szCs w:val="21"/>
          <w:b w:val="1"/>
          <w:bCs w:val="1"/>
          <w:color w:val="auto"/>
        </w:rPr>
        <w:t>.</w:t>
      </w:r>
    </w:p>
    <w:p>
      <w:pPr>
        <w:spacing w:after="0" w:line="204" w:lineRule="exact"/>
        <w:rPr>
          <w:rFonts w:ascii="Times New Roman" w:cs="Times New Roman" w:eastAsia="Times New Roman" w:hAnsi="Times New Roman"/>
          <w:sz w:val="20"/>
          <w:szCs w:val="20"/>
          <w:color w:val="auto"/>
        </w:rPr>
      </w:pPr>
    </w:p>
    <w:p>
      <w:pPr>
        <w:ind w:left="1760" w:firstLine="3"/>
        <w:spacing w:after="0" w:line="264" w:lineRule="auto"/>
        <w:tabs>
          <w:tab w:leader="none" w:pos="2660" w:val="left"/>
        </w:tabs>
        <w:numPr>
          <w:ilvl w:val="2"/>
          <w:numId w:val="2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Breach, Change of Control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CureVac will have the right to terminate this Agreement in full or on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Program-by-Program basis upon delivery of written notice to Arcturus in the event of</w:t>
      </w:r>
    </w:p>
    <w:p>
      <w:pPr>
        <w:spacing w:after="0" w:line="151" w:lineRule="exact"/>
        <w:rPr>
          <w:rFonts w:ascii="Times New Roman" w:cs="Times New Roman" w:eastAsia="Times New Roman" w:hAnsi="Times New Roman"/>
          <w:sz w:val="22"/>
          <w:szCs w:val="22"/>
          <w:b w:val="1"/>
          <w:bCs w:val="1"/>
          <w:i w:val="1"/>
          <w:iCs w:val="1"/>
          <w:color w:val="auto"/>
        </w:rPr>
      </w:pPr>
    </w:p>
    <w:p>
      <w:pPr>
        <w:ind w:left="2900" w:hanging="258"/>
        <w:spacing w:after="0"/>
        <w:tabs>
          <w:tab w:leader="none" w:pos="2900" w:val="left"/>
        </w:tabs>
        <w:numPr>
          <w:ilvl w:val="3"/>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Arcturus</w:t>
      </w:r>
    </w:p>
    <w:p>
      <w:pPr>
        <w:spacing w:after="0" w:line="206" w:lineRule="exact"/>
        <w:rPr>
          <w:sz w:val="20"/>
          <w:szCs w:val="20"/>
          <w:color w:val="auto"/>
        </w:rPr>
      </w:pPr>
    </w:p>
    <w:p>
      <w:pPr>
        <w:jc w:val="both"/>
        <w:ind w:left="2640" w:firstLine="2"/>
        <w:spacing w:after="0" w:line="244" w:lineRule="auto"/>
        <w:tabs>
          <w:tab w:leader="none" w:pos="301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terms and conditions of this Agreement, provided that such breach has not been cured within sixty (60) days after written notice thereof is given by CureVac to Arcturus specifying in reasonable detail the nature of the alleged breach;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0" w:name="page41"/>
    <w:bookmarkEnd w:id="40"/>
    <w:p>
      <w:pPr>
        <w:jc w:val="both"/>
        <w:ind w:left="2640" w:firstLine="2"/>
        <w:spacing w:after="0" w:line="238" w:lineRule="auto"/>
        <w:tabs>
          <w:tab w:leader="none" w:pos="29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failure of the Trusted Arcturus Employee to send the Target Response Notice within the period provided for in Section 4.2(c)(i), provided that such failure has not been cured neither within a first cure period of five (5) Business Days after written notice thereof is given by CureVac to Arcturus nor within a second cure period of five (5) Business Days after written notice of the lapse of the first cure period is given by CureVac to Arcturus, or</w:t>
      </w:r>
    </w:p>
    <w:p>
      <w:pPr>
        <w:spacing w:after="0" w:line="177" w:lineRule="exact"/>
        <w:rPr>
          <w:sz w:val="20"/>
          <w:szCs w:val="20"/>
          <w:color w:val="auto"/>
        </w:rPr>
      </w:pPr>
    </w:p>
    <w:p>
      <w:pPr>
        <w:ind w:left="2960" w:hanging="318"/>
        <w:spacing w:after="0"/>
        <w:tabs>
          <w:tab w:leader="none" w:pos="29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of Arcturus.”</w:t>
      </w:r>
    </w:p>
    <w:p>
      <w:pPr>
        <w:spacing w:after="0" w:line="202"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OF ARTICLE 4 OF THE OPTION AND DEVELOPMENT AGREEMENT</w:t>
      </w: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Article 4 of the Development and Option Agreement is hereby amended and restated in its entirety as follows: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Reserved Targets</w:t>
      </w:r>
    </w:p>
    <w:p>
      <w:pPr>
        <w:spacing w:after="0" w:line="178" w:lineRule="exact"/>
        <w:rPr>
          <w:sz w:val="20"/>
          <w:szCs w:val="20"/>
          <w:color w:val="auto"/>
        </w:rPr>
      </w:pPr>
    </w:p>
    <w:p>
      <w:pPr>
        <w:jc w:val="both"/>
        <w:ind w:left="8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Generally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CureVac will select the Targets that will be the subject of the Works to be performed as part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from the Reserved Target List. CureVac shall have the right, but not the obligation, to reserve Targets (or replace a Reserved Target with a new Target) in accordance with this Article 4.</w:t>
      </w:r>
    </w:p>
    <w:p>
      <w:pPr>
        <w:spacing w:after="0" w:line="165"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Restricted Target List</w:t>
      </w:r>
      <w:r>
        <w:rPr>
          <w:rFonts w:ascii="Times New Roman" w:cs="Times New Roman" w:eastAsia="Times New Roman" w:hAnsi="Times New Roman"/>
          <w:sz w:val="21"/>
          <w:szCs w:val="21"/>
          <w:b w:val="1"/>
          <w:bCs w:val="1"/>
          <w:i w:val="1"/>
          <w:iCs w:val="1"/>
          <w:color w:val="auto"/>
        </w:rPr>
        <w:t>.</w:t>
      </w:r>
    </w:p>
    <w:p>
      <w:pPr>
        <w:spacing w:after="0" w:line="206" w:lineRule="exact"/>
        <w:rPr>
          <w:sz w:val="20"/>
          <w:szCs w:val="20"/>
          <w:color w:val="auto"/>
        </w:rPr>
      </w:pPr>
    </w:p>
    <w:p>
      <w:pPr>
        <w:jc w:val="both"/>
        <w:ind w:left="1760" w:firstLine="3"/>
        <w:spacing w:after="0" w:line="234" w:lineRule="auto"/>
        <w:tabs>
          <w:tab w:leader="none" w:pos="2660" w:val="left"/>
        </w:tabs>
        <w:numPr>
          <w:ilvl w:val="0"/>
          <w:numId w:val="3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Pre-existing Restrictions. </w:t>
      </w:r>
      <w:r>
        <w:rPr>
          <w:rFonts w:ascii="Times New Roman" w:cs="Times New Roman" w:eastAsia="Times New Roman" w:hAnsi="Times New Roman"/>
          <w:sz w:val="22"/>
          <w:szCs w:val="22"/>
          <w:color w:val="auto"/>
        </w:rPr>
        <w:t>Arcturus shall ensure that the Trusted Arcturus Employee has access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 updated list of Targets that are subject to Pre-Existing Restrictions at any time (the "</w:t>
      </w:r>
      <w:r>
        <w:rPr>
          <w:rFonts w:ascii="Times New Roman" w:cs="Times New Roman" w:eastAsia="Times New Roman" w:hAnsi="Times New Roman"/>
          <w:sz w:val="22"/>
          <w:szCs w:val="22"/>
          <w:u w:val="single" w:color="auto"/>
          <w:color w:val="auto"/>
        </w:rPr>
        <w:t>Restricted 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List</w:t>
      </w:r>
      <w:r>
        <w:rPr>
          <w:rFonts w:ascii="Times New Roman" w:cs="Times New Roman" w:eastAsia="Times New Roman" w:hAnsi="Times New Roman"/>
          <w:sz w:val="22"/>
          <w:szCs w:val="22"/>
          <w:color w:val="auto"/>
        </w:rPr>
        <w:t>"). The Restricted Target List will identify for each Target listed in the Restricted Target List whether the Target is subject to Third Party rights or is under development at Arcturus. If the Target is subject to Third Party rights, the Restricted Target List will identify whether the Pre-Existing Restrictions are exclusive, non-exclusive or co-exclusive. If the Target is under development at Arcturus, Arcturus will provide the Trusted Arcturus Employee with Proof of Concept Data. Arcturus represents, warrants and covenants to CureVac that</w:t>
      </w:r>
    </w:p>
    <w:p>
      <w:pPr>
        <w:spacing w:after="0" w:line="5" w:lineRule="exact"/>
        <w:rPr>
          <w:rFonts w:ascii="Times New Roman" w:cs="Times New Roman" w:eastAsia="Times New Roman" w:hAnsi="Times New Roman"/>
          <w:sz w:val="22"/>
          <w:szCs w:val="22"/>
          <w:b w:val="1"/>
          <w:bCs w:val="1"/>
          <w:i w:val="1"/>
          <w:iCs w:val="1"/>
          <w:color w:val="auto"/>
        </w:rPr>
      </w:pPr>
    </w:p>
    <w:p>
      <w:pPr>
        <w:jc w:val="both"/>
        <w:ind w:left="1760" w:firstLine="3"/>
        <w:spacing w:after="0" w:line="233" w:lineRule="auto"/>
        <w:tabs>
          <w:tab w:leader="none" w:pos="202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Target List is and will at all times be accurate in accordance with this Section 4.2(a); and (ii) Arcturus will not add any Reserved Targets to the Restricted Target List and will not engage in any research, development or other activities with respect to a Reserved Target or grant to any Third Party any licenses or options under the Arcturus LMD Technology with respect to the then current Reserved Target List that would preclude Arcturus from entering into a License Agreement with respect to such Reserved Target as set forth herein.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1" w:name="page42"/>
    <w:bookmarkEnd w:id="41"/>
    <w:p>
      <w:pPr>
        <w:ind w:left="1460" w:hanging="897"/>
        <w:spacing w:after="0"/>
        <w:tabs>
          <w:tab w:leader="none" w:pos="1460" w:val="left"/>
        </w:tabs>
        <w:numPr>
          <w:ilvl w:val="0"/>
          <w:numId w:val="3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Target Notices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jc w:val="both"/>
        <w:ind w:left="1440" w:firstLine="675"/>
        <w:spacing w:after="0" w:line="234" w:lineRule="auto"/>
        <w:rPr>
          <w:sz w:val="20"/>
          <w:szCs w:val="20"/>
          <w:color w:val="auto"/>
        </w:rPr>
      </w:pPr>
      <w:r>
        <w:rPr>
          <w:rFonts w:ascii="Times New Roman" w:cs="Times New Roman" w:eastAsia="Times New Roman" w:hAnsi="Times New Roman"/>
          <w:sz w:val="22"/>
          <w:szCs w:val="22"/>
          <w:color w:val="auto"/>
        </w:rPr>
        <w:t xml:space="preserve">From time to time during the Term, if CureVac desires to include a Target as a Reserved Target hereunder, CureVac will notify the Trusted Arcturus Employee in writing of the Targets for potential inclusion on the Reserved Target List, which notice will provide (i) the information on the Target Reservation Request Form attached hereto as </w:t>
      </w:r>
      <w:r>
        <w:rPr>
          <w:rFonts w:ascii="Times New Roman" w:cs="Times New Roman" w:eastAsia="Times New Roman" w:hAnsi="Times New Roman"/>
          <w:sz w:val="22"/>
          <w:szCs w:val="22"/>
          <w:b w:val="1"/>
          <w:bCs w:val="1"/>
          <w:color w:val="auto"/>
        </w:rPr>
        <w:t>Exhibit 4.2</w:t>
      </w:r>
      <w:r>
        <w:rPr>
          <w:rFonts w:ascii="Times New Roman" w:cs="Times New Roman" w:eastAsia="Times New Roman" w:hAnsi="Times New Roman"/>
          <w:sz w:val="22"/>
          <w:szCs w:val="22"/>
          <w:color w:val="auto"/>
        </w:rPr>
        <w:t>; and (ii) the identity of each Reserved Target (if any) that CureVac desires to remove as a Reserved Target (each such notice, a "</w:t>
      </w:r>
      <w:r>
        <w:rPr>
          <w:rFonts w:ascii="Times New Roman" w:cs="Times New Roman" w:eastAsia="Times New Roman" w:hAnsi="Times New Roman"/>
          <w:sz w:val="22"/>
          <w:szCs w:val="22"/>
          <w:u w:val="single" w:color="auto"/>
          <w:color w:val="auto"/>
        </w:rPr>
        <w:t>Target Notice</w:t>
      </w:r>
      <w:r>
        <w:rPr>
          <w:rFonts w:ascii="Times New Roman" w:cs="Times New Roman" w:eastAsia="Times New Roman" w:hAnsi="Times New Roman"/>
          <w:sz w:val="22"/>
          <w:szCs w:val="22"/>
          <w:color w:val="auto"/>
        </w:rPr>
        <w:t>"). For clarity, the Target Notices shall not include more Targets than the Maximum Targets then available (taking into consideration any removed Targets previously reserved) and shall be deemed to be a request for an exclusive license at the outset unless there is a Pre-Existing Restriction. For clarity, CureVac’s rights to enter into a Non-Exclusive License Agreement shall apply only if the Pre-Existing Restriction permits a non-exclusive license right to such proposed Reserved Target.</w:t>
      </w:r>
    </w:p>
    <w:p>
      <w:pPr>
        <w:spacing w:after="0" w:line="177" w:lineRule="exact"/>
        <w:rPr>
          <w:sz w:val="20"/>
          <w:szCs w:val="20"/>
          <w:color w:val="auto"/>
        </w:rPr>
      </w:pPr>
    </w:p>
    <w:p>
      <w:pPr>
        <w:jc w:val="both"/>
        <w:ind w:left="1440" w:firstLine="675"/>
        <w:spacing w:after="0" w:line="236" w:lineRule="auto"/>
        <w:rPr>
          <w:sz w:val="20"/>
          <w:szCs w:val="20"/>
          <w:color w:val="auto"/>
        </w:rPr>
      </w:pPr>
      <w:r>
        <w:rPr>
          <w:rFonts w:ascii="Times New Roman" w:cs="Times New Roman" w:eastAsia="Times New Roman" w:hAnsi="Times New Roman"/>
          <w:sz w:val="22"/>
          <w:szCs w:val="22"/>
          <w:color w:val="auto"/>
        </w:rPr>
        <w:t>In addition to the formal Target reservation mechanism described in Section 4.2(b)(i), the Trusted Arcturus Employee will in good faith respond to any interim requests (not to exceed three (3) requests per month) on whether certain Targets can be reserved as Reserved Targets, in order to assist CureVac in planning of development projects. For clarity, the interim requests shall not include more than the Maximum Target then available (taking into consideration any removed Targets previously reserved).</w:t>
      </w:r>
    </w:p>
    <w:p>
      <w:pPr>
        <w:spacing w:after="0" w:line="176" w:lineRule="exact"/>
        <w:rPr>
          <w:sz w:val="20"/>
          <w:szCs w:val="20"/>
          <w:color w:val="auto"/>
        </w:rPr>
      </w:pPr>
    </w:p>
    <w:p>
      <w:pPr>
        <w:ind w:left="1460" w:hanging="897"/>
        <w:spacing w:after="0"/>
        <w:tabs>
          <w:tab w:leader="none" w:pos="1460" w:val="left"/>
        </w:tabs>
        <w:numPr>
          <w:ilvl w:val="0"/>
          <w:numId w:val="3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Target Response Notices.</w:t>
      </w:r>
    </w:p>
    <w:p>
      <w:pPr>
        <w:spacing w:after="0" w:line="212" w:lineRule="exact"/>
        <w:rPr>
          <w:rFonts w:ascii="Times New Roman" w:cs="Times New Roman" w:eastAsia="Times New Roman" w:hAnsi="Times New Roman"/>
          <w:sz w:val="22"/>
          <w:szCs w:val="22"/>
          <w:b w:val="1"/>
          <w:bCs w:val="1"/>
          <w:i w:val="1"/>
          <w:iCs w:val="1"/>
          <w:color w:val="auto"/>
        </w:rPr>
      </w:pPr>
    </w:p>
    <w:p>
      <w:pPr>
        <w:jc w:val="both"/>
        <w:ind w:left="1440" w:firstLine="2"/>
        <w:spacing w:after="0" w:line="249" w:lineRule="auto"/>
        <w:tabs>
          <w:tab w:leader="none" w:pos="227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Trusted Arcturus Employee, on behalf of Arcturus, will review each Target Notice provided by CureVac hereunder to determine whether or not any such proposed Target is on the Restricted Target List and if listed, the applicable Pre-Existing Restriction as of the date of such Target Notice. Within ten (10) Business Days of the Trusted Arcturus Employee’s receipt of a Target Notice, the Trusted Arcturus Employee will provide CureVac with written notice that includes the information set forth in subsection (c)(ii) and (iii) (each such notice, a "</w:t>
      </w:r>
      <w:r>
        <w:rPr>
          <w:rFonts w:ascii="Times New Roman" w:cs="Times New Roman" w:eastAsia="Times New Roman" w:hAnsi="Times New Roman"/>
          <w:sz w:val="21"/>
          <w:szCs w:val="21"/>
          <w:u w:val="single" w:color="auto"/>
          <w:color w:val="auto"/>
        </w:rPr>
        <w:t>Target Response Notice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1440"/>
        <w:spacing w:after="0" w:line="245" w:lineRule="auto"/>
        <w:rPr>
          <w:sz w:val="20"/>
          <w:szCs w:val="20"/>
          <w:color w:val="auto"/>
        </w:rPr>
      </w:pPr>
      <w:r>
        <w:rPr>
          <w:rFonts w:ascii="Times New Roman" w:cs="Times New Roman" w:eastAsia="Times New Roman" w:hAnsi="Times New Roman"/>
          <w:sz w:val="21"/>
          <w:szCs w:val="21"/>
          <w:color w:val="auto"/>
        </w:rPr>
        <w:t>If, as of the date of CureVac’s Target Notice for a Target, such Target is on the Restricted Target List and is listed as being subject to Pre-Existing Restrictions, then such Target shall not be available to become a Reserved Target. The Target Response Notice issued for such Target will certify to CureVac that such Target is on the Restricted Target List and is listed as being subject to Pre-Existing Restrictions. The Target Response Notice issued for such Target shall identify whether the Target is subject to Third Party rights or is under development at Arcturus. If the Target is subject to Third Party rights, the Target Response Notice shall identify whether the Pre-Existing Restrictions are exclusive, non-exclusive or co-exclusive. If the Target is under development at Arcturus, upon CureVac’s request, Arcturus shall provide to CureVac Proof of Concept Data within five (5) Business Days following such request in order to enable CureVac to confirm that the Proof of Concept Data is sufficient for Arcturus to reject the qualification of the Target as Reserved Target.</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2" w:right="239" w:bottom="1440" w:gutter="0" w:footer="0" w:header="0"/>
        </w:sectPr>
      </w:pPr>
    </w:p>
    <w:bookmarkStart w:id="42" w:name="page43"/>
    <w:bookmarkEnd w:id="42"/>
    <w:p>
      <w:pPr>
        <w:jc w:val="both"/>
        <w:ind w:left="1440"/>
        <w:spacing w:after="0" w:line="236" w:lineRule="auto"/>
        <w:rPr>
          <w:sz w:val="20"/>
          <w:szCs w:val="20"/>
          <w:color w:val="auto"/>
        </w:rPr>
      </w:pPr>
      <w:r>
        <w:rPr>
          <w:rFonts w:ascii="Times New Roman" w:cs="Times New Roman" w:eastAsia="Times New Roman" w:hAnsi="Times New Roman"/>
          <w:sz w:val="22"/>
          <w:szCs w:val="22"/>
          <w:color w:val="auto"/>
        </w:rPr>
        <w:t>If, as of the date of CureVac’s Target Notice for a Target, such Target is not listed on the Restricted Target List, then such Target will become a Reserved Target and will be added to the Reserved Target List subject to the Concurrent Reserved List Limits set forth in subsection (d) below. To the extent that the Pre-Existing Restriction is non-exclusive, then such Target may be added by CureVac to the Reserved Target List, but CureVac shall only have the right to enter into a Non-Exclusive License Agreement.</w:t>
      </w:r>
    </w:p>
    <w:p>
      <w:pPr>
        <w:spacing w:after="0" w:line="182" w:lineRule="exact"/>
        <w:rPr>
          <w:sz w:val="20"/>
          <w:szCs w:val="20"/>
          <w:color w:val="auto"/>
        </w:rPr>
      </w:pPr>
    </w:p>
    <w:p>
      <w:pPr>
        <w:jc w:val="both"/>
        <w:ind w:left="1440" w:firstLine="2"/>
        <w:spacing w:after="0" w:line="234" w:lineRule="auto"/>
        <w:tabs>
          <w:tab w:leader="none" w:pos="24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 dispute between the Parties as to whether a Target is eligible to become a Reserved Target, the Parties will involve an independent Third Party qualified scientist mutually agreed upon by both Parties (the “</w:t>
      </w:r>
      <w:r>
        <w:rPr>
          <w:rFonts w:ascii="Times New Roman" w:cs="Times New Roman" w:eastAsia="Times New Roman" w:hAnsi="Times New Roman"/>
          <w:sz w:val="22"/>
          <w:szCs w:val="22"/>
          <w:u w:val="single" w:color="auto"/>
          <w:color w:val="auto"/>
        </w:rPr>
        <w:t>Auditor</w:t>
      </w:r>
      <w:r>
        <w:rPr>
          <w:rFonts w:ascii="Times New Roman" w:cs="Times New Roman" w:eastAsia="Times New Roman" w:hAnsi="Times New Roman"/>
          <w:sz w:val="22"/>
          <w:szCs w:val="22"/>
          <w:color w:val="auto"/>
        </w:rPr>
        <w:t>”) within ten (10) Business Days as of the date of the Target Response Notice. Promptly upon the Auditor’s designation, Arcturus shall submit to the Auditor all documents and materials which are necessary for the Auditor to identify the Pre-Existing Restrictions. The Auditor shall determine whether the Target is eligible to become a Reserved Target in accordance with the applicable provisions of this Agreement. The Auditor’s determination shall be binding upon the Parties. The Auditor shall be required to enter into a reasonably acceptable confidentiality agreement and will not share any information provided by Arcturus to CureVac or any Third Party.</w:t>
      </w:r>
    </w:p>
    <w:p>
      <w:pPr>
        <w:spacing w:after="0" w:line="174" w:lineRule="exact"/>
        <w:rPr>
          <w:rFonts w:ascii="Times New Roman" w:cs="Times New Roman" w:eastAsia="Times New Roman" w:hAnsi="Times New Roman"/>
          <w:sz w:val="22"/>
          <w:szCs w:val="22"/>
          <w:color w:val="auto"/>
        </w:rPr>
      </w:pPr>
    </w:p>
    <w:p>
      <w:pPr>
        <w:ind w:left="560" w:firstLine="3"/>
        <w:spacing w:after="0" w:line="264" w:lineRule="auto"/>
        <w:tabs>
          <w:tab w:leader="none" w:pos="1460" w:val="left"/>
        </w:tabs>
        <w:numPr>
          <w:ilvl w:val="0"/>
          <w:numId w:val="3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Concurrent Reserved List Limits and Removal of Targets. </w:t>
      </w:r>
      <w:r>
        <w:rPr>
          <w:rFonts w:ascii="Times New Roman" w:cs="Times New Roman" w:eastAsia="Times New Roman" w:hAnsi="Times New Roman"/>
          <w:sz w:val="22"/>
          <w:szCs w:val="22"/>
          <w:color w:val="auto"/>
        </w:rPr>
        <w:t>The following concurrent reserved list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limits will apply to all Reserved Targets ("</w:t>
      </w:r>
      <w:r>
        <w:rPr>
          <w:rFonts w:ascii="Times New Roman" w:cs="Times New Roman" w:eastAsia="Times New Roman" w:hAnsi="Times New Roman"/>
          <w:sz w:val="22"/>
          <w:szCs w:val="22"/>
          <w:u w:val="single" w:color="auto"/>
          <w:color w:val="auto"/>
        </w:rPr>
        <w:t>Concurrent Reserved List Limits</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b w:val="1"/>
          <w:bCs w:val="1"/>
          <w:i w:val="1"/>
          <w:iCs w:val="1"/>
          <w:color w:val="auto"/>
        </w:rPr>
      </w:pPr>
    </w:p>
    <w:p>
      <w:pPr>
        <w:jc w:val="both"/>
        <w:ind w:left="1440" w:firstLine="2"/>
        <w:spacing w:after="0" w:line="247" w:lineRule="auto"/>
        <w:tabs>
          <w:tab w:leader="none" w:pos="2292"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Reserved Targets and Removal thereof</w:t>
      </w:r>
      <w:r>
        <w:rPr>
          <w:rFonts w:ascii="Times New Roman" w:cs="Times New Roman" w:eastAsia="Times New Roman" w:hAnsi="Times New Roman"/>
          <w:sz w:val="21"/>
          <w:szCs w:val="21"/>
          <w:color w:val="auto"/>
        </w:rPr>
        <w:t>. CureVac may select Reserved Targets up to the totals allowed for in subparagraph (ii) below, in accordance with the process specified in Sections 4.2(b) and (c). CureVac shall have the right to remove a Target or replace a Target on the Reserved Target List with another Target, in accordance with the process specified in Section 4.2(b), provided</w:t>
      </w:r>
    </w:p>
    <w:p>
      <w:pPr>
        <w:spacing w:after="0" w:line="2" w:lineRule="exact"/>
        <w:rPr>
          <w:rFonts w:ascii="Times New Roman" w:cs="Times New Roman" w:eastAsia="Times New Roman" w:hAnsi="Times New Roman"/>
          <w:sz w:val="21"/>
          <w:szCs w:val="21"/>
          <w:color w:val="auto"/>
        </w:rPr>
      </w:pPr>
    </w:p>
    <w:p>
      <w:pPr>
        <w:jc w:val="both"/>
        <w:ind w:left="14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total number of Targets on the Reserved Target List does not exceed the Maximum Targets at any one time; and (B) a newly nominated Target is not on the Restricted Target List. Any abandoned Target(s) revert(s) back to Arcturus.</w:t>
      </w:r>
    </w:p>
    <w:p>
      <w:pPr>
        <w:spacing w:after="0" w:line="178" w:lineRule="exact"/>
        <w:rPr>
          <w:rFonts w:ascii="Times New Roman" w:cs="Times New Roman" w:eastAsia="Times New Roman" w:hAnsi="Times New Roman"/>
          <w:sz w:val="21"/>
          <w:szCs w:val="21"/>
          <w:color w:val="auto"/>
        </w:rPr>
      </w:pPr>
    </w:p>
    <w:p>
      <w:pPr>
        <w:jc w:val="both"/>
        <w:ind w:left="1440" w:firstLine="2"/>
        <w:spacing w:after="0"/>
        <w:tabs>
          <w:tab w:leader="none" w:pos="235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Reserved Targets</w:t>
      </w:r>
      <w:r>
        <w:rPr>
          <w:rFonts w:ascii="Times New Roman" w:cs="Times New Roman" w:eastAsia="Times New Roman" w:hAnsi="Times New Roman"/>
          <w:sz w:val="22"/>
          <w:szCs w:val="22"/>
          <w:color w:val="auto"/>
        </w:rPr>
        <w:t xml:space="preserve">. CureVac will have the right to select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color w:val="auto"/>
        </w:rPr>
        <w:t xml:space="preserve"> at any one time to be placed on the Reserved Target List as Reserved Targets; provided that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color w:val="auto"/>
        </w:rPr>
        <w:t xml:space="preserve"> total shall be reduced by each delivery of an Acceptance Notice (the “</w:t>
      </w:r>
      <w:r>
        <w:rPr>
          <w:rFonts w:ascii="Times New Roman" w:cs="Times New Roman" w:eastAsia="Times New Roman" w:hAnsi="Times New Roman"/>
          <w:sz w:val="22"/>
          <w:szCs w:val="22"/>
          <w:u w:val="single" w:color="auto"/>
          <w:color w:val="auto"/>
        </w:rPr>
        <w:t>Maximum Targets</w:t>
      </w:r>
      <w:r>
        <w:rPr>
          <w:rFonts w:ascii="Times New Roman" w:cs="Times New Roman" w:eastAsia="Times New Roman" w:hAnsi="Times New Roman"/>
          <w:sz w:val="22"/>
          <w:szCs w:val="22"/>
          <w:color w:val="auto"/>
        </w:rPr>
        <w:t xml:space="preserve">”) (e.g., if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License Agreements have been executed, then the total number of Reserved Targets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color w:val="auto"/>
        </w:rPr>
        <w:t xml:space="preserve">reduced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1"/>
          <w:szCs w:val="21"/>
          <w:color w:val="auto"/>
        </w:rPr>
        <w:t>), with such reduction in the total Targets applying from and after the date of exercise of an Acceptance Notice.</w:t>
      </w:r>
    </w:p>
    <w:p>
      <w:pPr>
        <w:spacing w:after="0" w:line="19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43" w:name="page44"/>
    <w:bookmarkEnd w:id="43"/>
    <w:p>
      <w:pPr>
        <w:jc w:val="both"/>
        <w:ind w:left="880"/>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4.3 </w:t>
      </w:r>
      <w:r>
        <w:rPr>
          <w:rFonts w:ascii="Times New Roman" w:cs="Times New Roman" w:eastAsia="Times New Roman" w:hAnsi="Times New Roman"/>
          <w:sz w:val="21"/>
          <w:szCs w:val="21"/>
          <w:b w:val="1"/>
          <w:bCs w:val="1"/>
          <w:u w:val="single" w:color="auto"/>
          <w:color w:val="auto"/>
        </w:rPr>
        <w:t>Expiration of Pre-Existing Restrictions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Pre-Existing Restrictions identified in a Target Response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that precluded Arcturus from granting CureVac a license (whether or not CureVac has elected to designate such Target on the Reserved Target List on a non-exclusive basis subject to the Pre-Existing Restriction) under the Arcturus LMD Technology later expire or otherwise are modified or terminated such that Arcturus is no longer precluded under the terms of the applicable Third Party agreement from granting a license to CureVac with respect to such Target, the Trusted Arcturus Employee will notify CureVac of such event and CureVac will have an exclusive option, for a period of thirty (30) days following delivery of notice to CureVac, to add (or extend its rights) such Target to the Reserved Target List as a Reserved Target in accordance with Section 4.2(c), subject to the Concurrent Reserved List Limits. For clarity, CureVac will at all times thereafter have the right to provide a Target Notice for such Target to the Trusted Arcturus Employee pursuant to Section 4.2(b) but such Target Notice will be subject to any intervening Pre-Existing Restrictions.</w:t>
      </w:r>
    </w:p>
    <w:p>
      <w:pPr>
        <w:spacing w:after="0" w:line="172" w:lineRule="exact"/>
        <w:rPr>
          <w:sz w:val="20"/>
          <w:szCs w:val="20"/>
          <w:color w:val="auto"/>
        </w:rPr>
      </w:pPr>
    </w:p>
    <w:p>
      <w:pPr>
        <w:jc w:val="both"/>
        <w:ind w:left="880"/>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4.4 Trusted Arcturus Employee. </w:t>
      </w:r>
      <w:r>
        <w:rPr>
          <w:rFonts w:ascii="Times New Roman" w:cs="Times New Roman" w:eastAsia="Times New Roman" w:hAnsi="Times New Roman"/>
          <w:sz w:val="22"/>
          <w:szCs w:val="22"/>
          <w:color w:val="auto"/>
        </w:rPr>
        <w:t>Arcturus shall ensure that the Trusted Arcturus Employee abides by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On the Third Amendment Date, (i) Arcturus shall communicate the name, title and contact details of the Trusted Arcturus Employee to CureVac and (ii) Arcturus and CureVac will terminate – if - any existing Escrow Agreement and jointly instruct and permit the Escrow Agent to send the current Reserved Target List to the Trusted Arcturus Employee. Arcturus shall ensure that only the Trusted Arcturus Employee knows the identity of Reserved Targets and that the Trusted Arcturus Employee is bound by obligations of confidentiality obliging the Trusted Arcturus Employee to keep the Reserved Target List and the identity of Reserved Targets confidential. All costs and expenses incurred through the Trusted Arcturus Employee after the Third Amendment Date will be borne by Arcturus. If Arcturus appoints a new Arcturus employee to serve as the Trusted Arcturus Employee after the Third Amendment Date, Arcturus shall promptly notify CureVac of such appointment.</w:t>
      </w:r>
    </w:p>
    <w:p>
      <w:pPr>
        <w:spacing w:after="0" w:line="180" w:lineRule="exact"/>
        <w:rPr>
          <w:sz w:val="20"/>
          <w:szCs w:val="20"/>
          <w:color w:val="auto"/>
        </w:rPr>
      </w:pPr>
    </w:p>
    <w:p>
      <w:pPr>
        <w:ind w:left="820" w:hanging="812"/>
        <w:spacing w:after="0"/>
        <w:tabs>
          <w:tab w:leader="none" w:pos="82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AMENDMENTS</w:t>
      </w:r>
    </w:p>
    <w:p>
      <w:pPr>
        <w:spacing w:after="0" w:line="210" w:lineRule="exact"/>
        <w:rPr>
          <w:sz w:val="20"/>
          <w:szCs w:val="20"/>
          <w:color w:val="auto"/>
        </w:rPr>
      </w:pPr>
    </w:p>
    <w:p>
      <w:pPr>
        <w:ind w:left="880" w:hanging="872"/>
        <w:spacing w:after="0" w:line="258" w:lineRule="auto"/>
        <w:tabs>
          <w:tab w:leader="none" w:pos="8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1.69 of the Development and Option Agreement (Definition of Pre-Existing Restrictions) is hereby amended and restated in its entirety as follows:</w:t>
      </w:r>
    </w:p>
    <w:p>
      <w:pPr>
        <w:spacing w:after="0" w:line="154" w:lineRule="exact"/>
        <w:rPr>
          <w:rFonts w:ascii="Times New Roman" w:cs="Times New Roman" w:eastAsia="Times New Roman" w:hAnsi="Times New Roman"/>
          <w:sz w:val="20"/>
          <w:szCs w:val="20"/>
          <w:color w:val="auto"/>
        </w:rPr>
      </w:pPr>
    </w:p>
    <w:p>
      <w:pPr>
        <w:jc w:val="both"/>
        <w:ind w:left="880" w:hanging="872"/>
        <w:spacing w:after="0" w:line="237" w:lineRule="auto"/>
        <w:tabs>
          <w:tab w:leader="none" w:pos="8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1.69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Pre-Existing Restrictions</w:t>
      </w:r>
      <w:r>
        <w:rPr>
          <w:rFonts w:ascii="Times New Roman" w:cs="Times New Roman" w:eastAsia="Times New Roman" w:hAnsi="Times New Roman"/>
          <w:sz w:val="22"/>
          <w:szCs w:val="22"/>
          <w:color w:val="auto"/>
        </w:rPr>
        <w:t xml:space="preserve">" means, with respect to a Target on the Restricted Target List pursuant to Section 4.2(a), that (i) Arcturus or its Affiliates have granted to a Third Party with respect to such Target a non-exclusive, co-exclusive or an exclusive license or option pursuant to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written agreement that is in effect at the date of the Target Notice by CureVac pursuant to Section 4.2, restricting Arcturus from granting the applicable license to CureVac under the LMD Technology with respect to such Target, or (ii) such Target is under development at Arcturus and Arcturus has completed, at minimum, preclinical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Proof of Concept Data with respect to such Target.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4" w:name="page45"/>
    <w:bookmarkEnd w:id="44"/>
    <w:p>
      <w:pPr>
        <w:ind w:left="880" w:right="20" w:hanging="872"/>
        <w:spacing w:after="0" w:line="258" w:lineRule="auto"/>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1.77 of the Development and Option Agreement (Definition of Reserved Target) is hereby amended and restated in its entirety as follows:</w:t>
      </w:r>
    </w:p>
    <w:p>
      <w:pPr>
        <w:spacing w:after="0" w:line="154" w:lineRule="exact"/>
        <w:rPr>
          <w:rFonts w:ascii="Times New Roman" w:cs="Times New Roman" w:eastAsia="Times New Roman" w:hAnsi="Times New Roman"/>
          <w:sz w:val="20"/>
          <w:szCs w:val="20"/>
          <w:color w:val="auto"/>
        </w:rPr>
      </w:pPr>
    </w:p>
    <w:p>
      <w:pPr>
        <w:jc w:val="both"/>
        <w:ind w:left="88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Reserved Target</w:t>
      </w:r>
      <w:r>
        <w:rPr>
          <w:rFonts w:ascii="Times New Roman" w:cs="Times New Roman" w:eastAsia="Times New Roman" w:hAnsi="Times New Roman"/>
          <w:sz w:val="22"/>
          <w:szCs w:val="22"/>
          <w:color w:val="auto"/>
        </w:rPr>
        <w:t>" means a Target (i) which is included in the Reserved Target List on the Third Amendment Date or (ii) with respect to which CureVac shall have delivered to the Trusted Arcturus Employee a Target Notice and in response thereto the Trusted Arcturus Employee shall have delivered to CureVac a Target Response Notice under Section 4.2(c)(i) for such Target to become a Reserved Target. A Reserved Target that is abandoned or replaced pursuant to Section 4.2 will no longer be deemed a Reserved Target.”</w:t>
      </w:r>
    </w:p>
    <w:p>
      <w:pPr>
        <w:spacing w:after="0" w:line="181" w:lineRule="exact"/>
        <w:rPr>
          <w:rFonts w:ascii="Times New Roman" w:cs="Times New Roman" w:eastAsia="Times New Roman" w:hAnsi="Times New Roman"/>
          <w:sz w:val="20"/>
          <w:szCs w:val="20"/>
          <w:color w:val="auto"/>
        </w:rPr>
      </w:pPr>
    </w:p>
    <w:p>
      <w:pPr>
        <w:ind w:left="880" w:hanging="872"/>
        <w:spacing w:after="0"/>
        <w:tabs>
          <w:tab w:leader="none" w:pos="8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following Sections are inserted immediately following Section 1.97 of the Development and Option Agreement:</w:t>
      </w:r>
    </w:p>
    <w:p>
      <w:pPr>
        <w:spacing w:after="0" w:line="202" w:lineRule="exact"/>
        <w:rPr>
          <w:rFonts w:ascii="Times New Roman" w:cs="Times New Roman" w:eastAsia="Times New Roman" w:hAnsi="Times New Roman"/>
          <w:sz w:val="20"/>
          <w:szCs w:val="20"/>
          <w:color w:val="auto"/>
        </w:rPr>
      </w:pPr>
    </w:p>
    <w:p>
      <w:pPr>
        <w:jc w:val="both"/>
        <w:ind w:left="880" w:right="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1.98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Trusted Arcturus Employee</w:t>
      </w:r>
      <w:r>
        <w:rPr>
          <w:rFonts w:ascii="Times New Roman" w:cs="Times New Roman" w:eastAsia="Times New Roman" w:hAnsi="Times New Roman"/>
          <w:sz w:val="22"/>
          <w:szCs w:val="22"/>
          <w:color w:val="auto"/>
        </w:rPr>
        <w:t>” means an employee (not on the C-Level or business development) of Arcturus designated by Arcturus, being the only individual in the Arcturus’ organization who knows the CureVac Reservation List, steering the Target Response Notice.</w:t>
      </w:r>
    </w:p>
    <w:p>
      <w:pPr>
        <w:spacing w:after="0" w:line="167" w:lineRule="exact"/>
        <w:rPr>
          <w:rFonts w:ascii="Times New Roman" w:cs="Times New Roman" w:eastAsia="Times New Roman" w:hAnsi="Times New Roman"/>
          <w:sz w:val="20"/>
          <w:szCs w:val="20"/>
          <w:color w:val="auto"/>
        </w:rPr>
      </w:pPr>
    </w:p>
    <w:p>
      <w:pPr>
        <w:jc w:val="both"/>
        <w:ind w:left="8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color w:val="auto"/>
        </w:rPr>
        <w:t xml:space="preserve">1.99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Proof of Concept Data</w:t>
      </w:r>
      <w:r>
        <w:rPr>
          <w:rFonts w:ascii="Times New Roman" w:cs="Times New Roman" w:eastAsia="Times New Roman" w:hAnsi="Times New Roman"/>
          <w:sz w:val="22"/>
          <w:szCs w:val="22"/>
          <w:color w:val="auto"/>
        </w:rPr>
        <w:t>” means any of the following: (i) data for two mRNAs encoding a Target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positive results (i.e. a biological and/or pharmacological effect) in at least one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study (i.e. in animals); or (ii) data for two mRNAs encoding a Target demonstrating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expression of the encoded Target.</w:t>
      </w:r>
    </w:p>
    <w:p>
      <w:pPr>
        <w:spacing w:after="0" w:line="167" w:lineRule="exact"/>
        <w:rPr>
          <w:sz w:val="20"/>
          <w:szCs w:val="20"/>
          <w:color w:val="auto"/>
        </w:rPr>
      </w:pPr>
    </w:p>
    <w:p>
      <w:pPr>
        <w:ind w:left="880"/>
        <w:spacing w:after="0"/>
        <w:tabs>
          <w:tab w:leader="none" w:pos="2000" w:val="left"/>
        </w:tabs>
        <w:rPr>
          <w:sz w:val="20"/>
          <w:szCs w:val="20"/>
          <w:color w:val="auto"/>
        </w:rPr>
      </w:pPr>
      <w:r>
        <w:rPr>
          <w:rFonts w:ascii="Times New Roman" w:cs="Times New Roman" w:eastAsia="Times New Roman" w:hAnsi="Times New Roman"/>
          <w:sz w:val="22"/>
          <w:szCs w:val="22"/>
          <w:b w:val="1"/>
          <w:bCs w:val="1"/>
          <w:color w:val="auto"/>
        </w:rPr>
        <w:t>1.100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Auditor</w:t>
      </w:r>
      <w:r>
        <w:rPr>
          <w:rFonts w:ascii="Times New Roman" w:cs="Times New Roman" w:eastAsia="Times New Roman" w:hAnsi="Times New Roman"/>
          <w:sz w:val="21"/>
          <w:szCs w:val="21"/>
          <w:color w:val="auto"/>
        </w:rPr>
        <w:t>” has the meaning set forth in Section 4.2(c)(iv).</w:t>
      </w:r>
    </w:p>
    <w:p>
      <w:pPr>
        <w:spacing w:after="0" w:line="206" w:lineRule="exact"/>
        <w:rPr>
          <w:sz w:val="20"/>
          <w:szCs w:val="20"/>
          <w:color w:val="auto"/>
        </w:rPr>
      </w:pPr>
    </w:p>
    <w:p>
      <w:pPr>
        <w:ind w:left="820" w:hanging="812"/>
        <w:spacing w:after="0"/>
        <w:tabs>
          <w:tab w:leader="none" w:pos="8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w:t>
      </w:r>
    </w:p>
    <w:p>
      <w:pPr>
        <w:spacing w:after="0" w:line="21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The Parties will mutually agree upon a Form 8-K to be filed by Arcturus with the Securities and Exchange Commission to disclose this Third Amendment (the “</w:t>
      </w:r>
      <w:r>
        <w:rPr>
          <w:rFonts w:ascii="Times New Roman" w:cs="Times New Roman" w:eastAsia="Times New Roman" w:hAnsi="Times New Roman"/>
          <w:sz w:val="22"/>
          <w:szCs w:val="22"/>
          <w:b w:val="1"/>
          <w:bCs w:val="1"/>
          <w:color w:val="auto"/>
        </w:rPr>
        <w:t>Form 8-K</w:t>
      </w:r>
      <w:r>
        <w:rPr>
          <w:rFonts w:ascii="Times New Roman" w:cs="Times New Roman" w:eastAsia="Times New Roman" w:hAnsi="Times New Roman"/>
          <w:sz w:val="22"/>
          <w:szCs w:val="22"/>
          <w:color w:val="auto"/>
        </w:rPr>
        <w:t>”). Except for the Form 8-K, unless required by applicable law, neither Party will disclose any information relating to the circumstances which have led to the amendment of the Development and Option Agreement or the amendment of the Development and Option Agreement (including the terms of this Third Amendment).</w:t>
      </w:r>
    </w:p>
    <w:p>
      <w:pPr>
        <w:spacing w:after="0" w:line="177" w:lineRule="exact"/>
        <w:rPr>
          <w:sz w:val="20"/>
          <w:szCs w:val="20"/>
          <w:color w:val="auto"/>
        </w:rPr>
      </w:pPr>
    </w:p>
    <w:p>
      <w:pPr>
        <w:ind w:left="880" w:hanging="872"/>
        <w:spacing w:after="0"/>
        <w:tabs>
          <w:tab w:leader="none" w:pos="88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Non-Disparagement</w:t>
      </w:r>
    </w:p>
    <w:p>
      <w:pPr>
        <w:spacing w:after="0" w:line="21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Neither Party or any of its Affiliates shall make any statements, verbal or written, or cause or encourage others to make any statements, verbal or written, that defame, disparage, or in any way criticize the personal or business reputation, practices, or conduct of, the other Party or its shareholders, directors, officers, employees, or agents, including but not limited to statements made regarding the past relationship and past interactions between the Parties. This prohibition extends to statements, verbal or written, made to anyone, including but not limited to, the news media, investors, potential investors, any board of directors or advisory board of directors, industry analysts, competitors, strategic partners, vendors, employees (past and present), and clients. Any breach of this paragraph shall be a material breach of the Development and Option Agreement. For the avoidance of any doubt, this Section 7 shall not prohibit the disclosure of any factual statements required by applicable Law.</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5" w:name="page46"/>
    <w:bookmarkEnd w:id="45"/>
    <w:p>
      <w:pPr>
        <w:ind w:left="880" w:hanging="872"/>
        <w:spacing w:after="0"/>
        <w:tabs>
          <w:tab w:leader="none" w:pos="8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Each Party represents and warrants to the other as of the Third Amendment Date that (a) it is a corporation duly organized, validly existing, and in good standing under the Laws of the jurisdiction in which it is incorporated, (b) it has the legal right and power to enter into this Third Amendment, to extend the rights and licenses granted or to be granted to the other in the Development and Option Agreement, and to fully perform its obligations hereunder, (c) it has taken all necessary corporate action on its part required to authorize the execution and delivery of this Third Amendment and the performance of its obligations under the Development and Option Agreement (d) this Third Amendment has been duly executed and delivered on behalf of such Party, and constitutes a legal, valid, and binding obligation of such Party that is enforceable against it in accordance with its terms, and (e) the execution, delivery and performance by a Party of this Third Amendment and the consummation of the transactions contemplated hereby will not result in any violation of, conflict with, result in a breach of or constitute a default under any understanding, contract or agreement to which such Party is a party or by which it is bound.</w:t>
      </w:r>
    </w:p>
    <w:p>
      <w:pPr>
        <w:spacing w:after="0" w:line="176" w:lineRule="exact"/>
        <w:rPr>
          <w:sz w:val="20"/>
          <w:szCs w:val="20"/>
          <w:color w:val="auto"/>
        </w:rPr>
      </w:pPr>
    </w:p>
    <w:p>
      <w:pPr>
        <w:ind w:left="880" w:hanging="872"/>
        <w:spacing w:after="0"/>
        <w:tabs>
          <w:tab w:leader="none" w:pos="88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Ratification of Development and Option Agreement</w:t>
      </w:r>
    </w:p>
    <w:p>
      <w:pPr>
        <w:spacing w:after="0" w:line="210"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Except as expressly provided in this Third Amendment, all of the terms, covenants, and other provisions of the Development and Option Agreement are hereby ratified and confirmed and shall continue to be in full force and effect in accordance with their respective terms. From and after the date hereof, all references to the Development and Option Agreement shall refer to the Development and Option Agreement as amended by this Third Amendment. Capitalized terms used but not defined in this Amendment shall have the meanings assigned to them in the Development and Option Agreement.</w:t>
      </w:r>
    </w:p>
    <w:p>
      <w:pPr>
        <w:spacing w:after="0" w:line="173" w:lineRule="exact"/>
        <w:rPr>
          <w:sz w:val="20"/>
          <w:szCs w:val="20"/>
          <w:color w:val="auto"/>
        </w:rPr>
      </w:pPr>
    </w:p>
    <w:p>
      <w:pPr>
        <w:ind w:left="980" w:hanging="972"/>
        <w:spacing w:after="0"/>
        <w:tabs>
          <w:tab w:leader="none" w:pos="9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This Third Amendment shall be governed by and construed in accordance with the Laws of the State of New York, USA, without respect to its conflict of Laws rules. In the event of a dispute arising out of or relating to this Third Amendment, the provisions of Section 10.1 of the Development and Option Agreement shall govern the resolution of such dispute.</w:t>
      </w:r>
    </w:p>
    <w:p>
      <w:pPr>
        <w:spacing w:after="0" w:line="170" w:lineRule="exact"/>
        <w:rPr>
          <w:sz w:val="20"/>
          <w:szCs w:val="20"/>
          <w:color w:val="auto"/>
        </w:rPr>
      </w:pPr>
    </w:p>
    <w:p>
      <w:pPr>
        <w:ind w:left="960" w:hanging="952"/>
        <w:spacing w:after="0"/>
        <w:tabs>
          <w:tab w:leader="none" w:pos="9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21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Third Amendment may be executed and in one or more counterparts, each of which will be deemed an original, and all of which together will be deemed to be one and the same instrument. Facsimile or PDF execution and delivery of this Third Amendment by either Party will constitute a legal, valid and binding execution and delivery of this Third Amendment by such Party.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6" w:name="page47"/>
    <w:bookmarkEnd w:id="46"/>
    <w:p>
      <w:pPr>
        <w:ind w:firstLine="877"/>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bound have caused this Third Agreement to be executed by their duly authorized representatives as of the Effective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Arcturus Therapeutics, Inc.</w:t>
            </w:r>
          </w:p>
        </w:tc>
        <w:tc>
          <w:tcPr>
            <w:tcW w:w="5820" w:type="dxa"/>
            <w:vAlign w:val="bottom"/>
            <w:gridSpan w:val="2"/>
          </w:tcPr>
          <w:p>
            <w:pPr>
              <w:ind w:left="220"/>
              <w:spacing w:after="0"/>
              <w:rPr>
                <w:sz w:val="20"/>
                <w:szCs w:val="20"/>
                <w:color w:val="auto"/>
              </w:rPr>
            </w:pPr>
            <w:r>
              <w:rPr>
                <w:rFonts w:ascii="Times New Roman" w:cs="Times New Roman" w:eastAsia="Times New Roman" w:hAnsi="Times New Roman"/>
                <w:sz w:val="22"/>
                <w:szCs w:val="22"/>
                <w:b w:val="1"/>
                <w:bCs w:val="1"/>
                <w:color w:val="auto"/>
              </w:rPr>
              <w:t>CureVac AG</w:t>
            </w:r>
          </w:p>
        </w:tc>
      </w:tr>
      <w:tr>
        <w:trPr>
          <w:trHeight w:val="447"/>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Joseph Payne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Daniel Menichella</w:t>
            </w:r>
          </w:p>
        </w:tc>
      </w:tr>
      <w:tr>
        <w:trPr>
          <w:trHeight w:val="425"/>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22"/>
                <w:szCs w:val="22"/>
                <w:color w:val="auto"/>
              </w:rPr>
              <w:t>Joseph Payne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Daniel Menichella</w:t>
            </w:r>
          </w:p>
        </w:tc>
      </w:tr>
      <w:tr>
        <w:trPr>
          <w:trHeight w:val="28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447"/>
        </w:trPr>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Dr. Franz-Werner Haas</w:t>
            </w:r>
          </w:p>
        </w:tc>
      </w:tr>
      <w:tr>
        <w:trPr>
          <w:trHeight w:val="209"/>
        </w:trPr>
        <w:tc>
          <w:tcPr>
            <w:tcW w:w="10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ind w:left="2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Dr. Franz-Werner Haas</w:t>
            </w:r>
          </w:p>
        </w:tc>
      </w:tr>
      <w:tr>
        <w:trPr>
          <w:trHeight w:val="283"/>
        </w:trPr>
        <w:tc>
          <w:tcPr>
            <w:tcW w:w="10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Chief Operating Officer</w:t>
            </w:r>
          </w:p>
        </w:tc>
      </w:tr>
    </w:tbl>
    <w:p>
      <w:pPr>
        <w:sectPr>
          <w:pgSz w:w="11900" w:h="16838" w:orient="portrait"/>
          <w:cols w:equalWidth="0" w:num="1">
            <w:col w:w="11420"/>
          </w:cols>
          <w:pgMar w:left="240" w:top="355" w:right="239" w:bottom="1440" w:gutter="0" w:footer="0" w:header="0"/>
        </w:sectPr>
      </w:pPr>
    </w:p>
    <w:bookmarkStart w:id="47" w:name="page48"/>
    <w:bookmarkEnd w:id="47"/>
    <w:p>
      <w:pPr>
        <w:ind w:left="10200"/>
        <w:spacing w:after="0"/>
        <w:rPr>
          <w:sz w:val="20"/>
          <w:szCs w:val="20"/>
          <w:color w:val="auto"/>
        </w:rPr>
      </w:pPr>
      <w:r>
        <w:rPr>
          <w:rFonts w:ascii="Times New Roman" w:cs="Times New Roman" w:eastAsia="Times New Roman" w:hAnsi="Times New Roman"/>
          <w:sz w:val="21"/>
          <w:szCs w:val="21"/>
          <w:b w:val="1"/>
          <w:bCs w:val="1"/>
          <w:color w:val="auto"/>
        </w:rPr>
        <w:t>Exhibit 10.21</w:t>
      </w:r>
    </w:p>
    <w:p>
      <w:pPr>
        <w:spacing w:after="0" w:line="21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This TERMINATION AGREEMENT (the “</w:t>
      </w:r>
      <w:r>
        <w:rPr>
          <w:rFonts w:ascii="Times New Roman" w:cs="Times New Roman" w:eastAsia="Times New Roman" w:hAnsi="Times New Roman"/>
          <w:sz w:val="22"/>
          <w:szCs w:val="22"/>
          <w:b w:val="1"/>
          <w:bCs w:val="1"/>
          <w:color w:val="auto"/>
        </w:rPr>
        <w:t>Termination Agreement</w:t>
      </w:r>
      <w:r>
        <w:rPr>
          <w:rFonts w:ascii="Times New Roman" w:cs="Times New Roman" w:eastAsia="Times New Roman" w:hAnsi="Times New Roman"/>
          <w:sz w:val="22"/>
          <w:szCs w:val="22"/>
          <w:color w:val="auto"/>
        </w:rPr>
        <w:t>”) is made as of July 26, 2019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Arcturus Therapeutics, Inc.</w:t>
      </w:r>
      <w:r>
        <w:rPr>
          <w:rFonts w:ascii="Times New Roman" w:cs="Times New Roman" w:eastAsia="Times New Roman" w:hAnsi="Times New Roman"/>
          <w:sz w:val="22"/>
          <w:szCs w:val="22"/>
          <w:color w:val="auto"/>
        </w:rPr>
        <w:t>, a Delaware corporation with offices at 10628 Science Center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Drive, Suite 200, San Diego, California 92121, U.S. (“</w:t>
      </w:r>
      <w:r>
        <w:rPr>
          <w:rFonts w:ascii="Times New Roman" w:cs="Times New Roman" w:eastAsia="Times New Roman" w:hAnsi="Times New Roman"/>
          <w:sz w:val="22"/>
          <w:szCs w:val="22"/>
          <w:b w:val="1"/>
          <w:bCs w:val="1"/>
          <w:color w:val="auto"/>
        </w:rPr>
        <w:t>Arcturus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CureVac AG</w:t>
      </w:r>
      <w:r>
        <w:rPr>
          <w:rFonts w:ascii="Times New Roman" w:cs="Times New Roman" w:eastAsia="Times New Roman" w:hAnsi="Times New Roman"/>
          <w:sz w:val="22"/>
          <w:szCs w:val="22"/>
          <w:color w:val="auto"/>
        </w:rPr>
        <w:t>, a German stock corporation with offices at Paul-Ehrlich-Strasse 15, 72076 Tuebingen, Germany (“</w:t>
      </w:r>
      <w:r>
        <w:rPr>
          <w:rFonts w:ascii="Times New Roman" w:cs="Times New Roman" w:eastAsia="Times New Roman" w:hAnsi="Times New Roman"/>
          <w:sz w:val="22"/>
          <w:szCs w:val="22"/>
          <w:b w:val="1"/>
          <w:bCs w:val="1"/>
          <w:color w:val="auto"/>
        </w:rPr>
        <w:t>CureVac</w:t>
      </w:r>
      <w:r>
        <w:rPr>
          <w:rFonts w:ascii="Times New Roman" w:cs="Times New Roman" w:eastAsia="Times New Roman" w:hAnsi="Times New Roman"/>
          <w:sz w:val="22"/>
          <w:szCs w:val="22"/>
          <w:color w:val="auto"/>
        </w:rPr>
        <w:t>”). CureVac and Arcturus are referred to in this Termination Agreement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WHEREAS, on January 1, 2018, the Parties entered into a Co-Development and Co-Commercialization Agreement (the “</w:t>
      </w:r>
      <w:r>
        <w:rPr>
          <w:rFonts w:ascii="Times New Roman" w:cs="Times New Roman" w:eastAsia="Times New Roman" w:hAnsi="Times New Roman"/>
          <w:sz w:val="22"/>
          <w:szCs w:val="22"/>
          <w:b w:val="1"/>
          <w:bCs w:val="1"/>
          <w:color w:val="auto"/>
        </w:rPr>
        <w:t>Co-Development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WHEREAS, the Parties mutually desire to terminate the Co-Development Agreement.</w:t>
      </w:r>
    </w:p>
    <w:p>
      <w:pPr>
        <w:spacing w:after="0" w:line="206"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mutual covenants contained herein, the receipt and sufficiency of which are hereby acknowledged, the Parties hereby agree as follows: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The terms in this Termination Agreement with initial letters capitalized shall have the meanings designated throughout this Agreement or, if not defined herein, shall have the same meaning as provided in the Co-Development Agreement.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OF THE CO-DEVELOPMENT AGREEMENT</w:t>
      </w:r>
    </w:p>
    <w:p>
      <w:pPr>
        <w:spacing w:after="0" w:line="17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 Termination. </w:t>
      </w:r>
      <w:r>
        <w:rPr>
          <w:rFonts w:ascii="Times New Roman" w:cs="Times New Roman" w:eastAsia="Times New Roman" w:hAnsi="Times New Roman"/>
          <w:sz w:val="22"/>
          <w:szCs w:val="22"/>
          <w:color w:val="auto"/>
        </w:rPr>
        <w:t>Subject to Section 2.2, the Parties hereby terminate the Co-Development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 and agree that, as a result of such termination, their respective rights and obligations under the Co-Development Agreement are terminated as of the Effective Termination Date.</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 Survival. </w:t>
      </w:r>
      <w:r>
        <w:rPr>
          <w:rFonts w:ascii="Times New Roman" w:cs="Times New Roman" w:eastAsia="Times New Roman" w:hAnsi="Times New Roman"/>
          <w:sz w:val="22"/>
          <w:szCs w:val="22"/>
          <w:color w:val="auto"/>
        </w:rPr>
        <w:t>Section 11.4 of the Co-Development Agreement (survival) shall not survive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Co-Development Agreement except that the obligations of confidentiality under Article 10 of the Co-Development Agreement shall continue to apply beyond the Effective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ONE-TIME PAYMENT</w:t>
      </w:r>
    </w:p>
    <w:p>
      <w:pPr>
        <w:spacing w:after="0" w:line="182"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CureVac shall make, five (5) Business Days following the date of the Effective Termination Date a one-time payment of U.S. dollar four million (USD 4,000,000) to Arcturus by wire transfer to the bank account designated by Arcturus.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MUTUAL RELEASE</w:t>
      </w:r>
    </w:p>
    <w:p>
      <w:pPr>
        <w:spacing w:after="0" w:line="182"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Arcturus and CureVac hereby release and forever discharge one another, and all of their respective employees, agents, successors, assigns, legal representatives, Affiliates, directors and officers from and against any and all actions, claims, suits, demands, payment obligations or other obligations or liabilities of any nature whatsoever, whether known or unknown, which the other Party or any of its employees, agents, successors, assigns, legal representatives, Affiliates, directors and officers have had, now have or may have in the future directly or indirectly arising out of (or in connection with) the Co-Development Agreement, including without limitation any and all potential or asserted claims related to the OTC Preclinical Development Plan and the termination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ADMISSION OR LIABILITY</w:t>
      </w:r>
    </w:p>
    <w:p>
      <w:pPr>
        <w:spacing w:after="0" w:line="182"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This Termination Agreement and compliance with it shall not operate or be construed as an admission by either Party of any liability, misconduct or wrongdoing whatsoever against the other Party or any party released herein, and shall not be construed as an admission of a violation of the rights of any Party, or as a violation of any law, rule, regulation or ordinance.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DISCLOSURE</w:t>
      </w:r>
    </w:p>
    <w:p>
      <w:pPr>
        <w:spacing w:after="0" w:line="182"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The Parties will mutually agree upon a Form 8-K to be filed by Arcturus with the Securities and Exchange Commission to disclose the Termination Agreement (the “</w:t>
      </w:r>
      <w:r>
        <w:rPr>
          <w:rFonts w:ascii="Times New Roman" w:cs="Times New Roman" w:eastAsia="Times New Roman" w:hAnsi="Times New Roman"/>
          <w:sz w:val="22"/>
          <w:szCs w:val="22"/>
          <w:b w:val="1"/>
          <w:bCs w:val="1"/>
          <w:color w:val="auto"/>
        </w:rPr>
        <w:t>Form 8-K</w:t>
      </w:r>
      <w:r>
        <w:rPr>
          <w:rFonts w:ascii="Times New Roman" w:cs="Times New Roman" w:eastAsia="Times New Roman" w:hAnsi="Times New Roman"/>
          <w:sz w:val="22"/>
          <w:szCs w:val="22"/>
          <w:color w:val="auto"/>
        </w:rPr>
        <w:t>”). Except for the Form 8-K, unless required by applicable law, neither Party will disclose any information relating to the circumstances which have led to the termination of the Co-Development Agreement or the actual termination of the Co-Development Agreement (including the terms of this Termination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NON-DISPARAGEMENT</w:t>
      </w:r>
    </w:p>
    <w:p>
      <w:pPr>
        <w:spacing w:after="0" w:line="182" w:lineRule="exact"/>
        <w:rPr>
          <w:sz w:val="20"/>
          <w:szCs w:val="20"/>
          <w:color w:val="auto"/>
        </w:rPr>
      </w:pPr>
    </w:p>
    <w:p>
      <w:pPr>
        <w:jc w:val="both"/>
        <w:ind w:right="220" w:firstLine="877"/>
        <w:spacing w:after="0" w:line="262" w:lineRule="auto"/>
        <w:rPr>
          <w:sz w:val="20"/>
          <w:szCs w:val="20"/>
          <w:color w:val="auto"/>
        </w:rPr>
      </w:pPr>
      <w:r>
        <w:rPr>
          <w:rFonts w:ascii="Times New Roman" w:cs="Times New Roman" w:eastAsia="Times New Roman" w:hAnsi="Times New Roman"/>
          <w:sz w:val="21"/>
          <w:szCs w:val="21"/>
          <w:color w:val="auto"/>
        </w:rPr>
        <w:t>Neither Party or any of its Affiliates shall make any statements, verbal or written, or cause or encourage others to make any statements, verbal or written, that defame, disparage, or in any way criticize the personal or business reputation, practices, or conduct of, the other Party or its shareholders, directors, officers, employees, or agents, including but not limited to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9" w:name="page50"/>
    <w:bookmarkEnd w:id="49"/>
    <w:p>
      <w:pPr>
        <w:ind w:right="280"/>
        <w:spacing w:after="0" w:line="238" w:lineRule="auto"/>
        <w:rPr>
          <w:sz w:val="20"/>
          <w:szCs w:val="20"/>
          <w:color w:val="auto"/>
        </w:rPr>
      </w:pPr>
      <w:r>
        <w:rPr>
          <w:rFonts w:ascii="Times New Roman" w:cs="Times New Roman" w:eastAsia="Times New Roman" w:hAnsi="Times New Roman"/>
          <w:sz w:val="22"/>
          <w:szCs w:val="22"/>
          <w:color w:val="auto"/>
        </w:rPr>
        <w:t>made regarding the past relationship and past interactions between the Parties. This prohibition extends to statements, verbal or written, made to anyone, including but not limited to, the news media, investors, potential investors, any board of directors or advisory board of directors, industry analysts, competitors, strategic partners, vendors, employees (past and present), and clients. Any breach of this paragraph shall be a material breach of this Termination Agreement. For the avoidance of any doubt, this Article 7 shall not prohibit the disclosure of any factual statements required by applicable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78"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8.1 Severability. </w:t>
      </w:r>
      <w:r>
        <w:rPr>
          <w:rFonts w:ascii="Times New Roman" w:cs="Times New Roman" w:eastAsia="Times New Roman" w:hAnsi="Times New Roman"/>
          <w:sz w:val="22"/>
          <w:szCs w:val="22"/>
          <w:color w:val="auto"/>
        </w:rPr>
        <w:t>If any one or more of the provisions contained in this Termination Agreement is held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Termination Agreement.</w:t>
      </w:r>
    </w:p>
    <w:p>
      <w:pPr>
        <w:spacing w:after="0" w:line="176"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8.2 Successors and assigns. </w:t>
      </w:r>
      <w:r>
        <w:rPr>
          <w:rFonts w:ascii="Times New Roman" w:cs="Times New Roman" w:eastAsia="Times New Roman" w:hAnsi="Times New Roman"/>
          <w:sz w:val="22"/>
          <w:szCs w:val="22"/>
          <w:color w:val="auto"/>
        </w:rPr>
        <w:t>This Termination Agreement, and in particular the mutual release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binding on all successors and assigns of each Party.</w:t>
      </w:r>
    </w:p>
    <w:p>
      <w:pPr>
        <w:spacing w:after="0" w:line="15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 Governing Law. </w:t>
      </w:r>
      <w:r>
        <w:rPr>
          <w:rFonts w:ascii="Times New Roman" w:cs="Times New Roman" w:eastAsia="Times New Roman" w:hAnsi="Times New Roman"/>
          <w:sz w:val="22"/>
          <w:szCs w:val="22"/>
          <w:color w:val="auto"/>
        </w:rPr>
        <w:t>This Termination Agreement shall be governed by and construed in accordance with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under this Termination Agreement shall be resolved in accordance with the laws of the State of New York, USA, without reference to any rules of conflict of laws.</w:t>
      </w:r>
    </w:p>
    <w:p>
      <w:pPr>
        <w:spacing w:after="0" w:line="16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Dispute Resolution.</w:t>
      </w:r>
    </w:p>
    <w:p>
      <w:pPr>
        <w:spacing w:after="0" w:line="204" w:lineRule="exact"/>
        <w:rPr>
          <w:sz w:val="20"/>
          <w:szCs w:val="20"/>
          <w:color w:val="auto"/>
        </w:rPr>
      </w:pPr>
    </w:p>
    <w:p>
      <w:pPr>
        <w:jc w:val="both"/>
        <w:ind w:firstLine="1763"/>
        <w:spacing w:after="0" w:line="250" w:lineRule="auto"/>
        <w:tabs>
          <w:tab w:leader="none" w:pos="2655"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 xml:space="preserve">Dispute Escalation. </w:t>
      </w:r>
      <w:r>
        <w:rPr>
          <w:rFonts w:ascii="Times New Roman" w:cs="Times New Roman" w:eastAsia="Times New Roman" w:hAnsi="Times New Roman"/>
          <w:sz w:val="21"/>
          <w:szCs w:val="21"/>
          <w:color w:val="auto"/>
        </w:rPr>
        <w:t>In the event of a dispute between the Parties arising out of or in connection with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Termination Agreement, the Parties will first attempt in good faith to resolve such dispute by negotiation and consultation between themselves. In the event that such dispute is not resolved on an informal basis within thirty (30) days, any Party may, by written notice to the other, have such dispute referred to each Party’s Chief Executive Officer or his or her designee (who will be a senior executive with the appropriate authority to determine the mater for such Party), who will attempt in good faith to resolve such dispute by negotiation and consultation for a thirty (30) days period following receipt of such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0" w:name="page51"/>
    <w:bookmarkEnd w:id="50"/>
    <w:p>
      <w:pPr>
        <w:ind w:left="2680" w:hanging="917"/>
        <w:spacing w:after="0"/>
        <w:tabs>
          <w:tab w:leader="none" w:pos="268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Dispute Resolution.</w:t>
      </w:r>
    </w:p>
    <w:p>
      <w:pPr>
        <w:spacing w:after="0" w:line="212" w:lineRule="exact"/>
        <w:rPr>
          <w:rFonts w:ascii="Times New Roman" w:cs="Times New Roman" w:eastAsia="Times New Roman" w:hAnsi="Times New Roman"/>
          <w:sz w:val="22"/>
          <w:szCs w:val="22"/>
          <w:b w:val="1"/>
          <w:bCs w:val="1"/>
          <w:color w:val="auto"/>
        </w:rPr>
      </w:pPr>
    </w:p>
    <w:p>
      <w:pPr>
        <w:jc w:val="both"/>
        <w:ind w:right="20" w:firstLine="2642"/>
        <w:spacing w:after="0" w:line="238" w:lineRule="auto"/>
        <w:tabs>
          <w:tab w:leader="none" w:pos="3486"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the Chief Executive Officers of the Parties are not able to resolve such dispute as set forth above, the Parties agree to try to solve such dispute amicably by mediation. The Parties shall conduct a mediation procedure according to the Mediation Rules of the World Intellectual Property Organization (WIPO) in effect on the date of the commencement of the mediation proceedings. The location of the mediation proceedings will be New York City, New York, USA. The number of mediators will be one (1). The language of the mediation proceedings will be English.</w:t>
      </w:r>
    </w:p>
    <w:p>
      <w:pPr>
        <w:spacing w:after="0" w:line="177" w:lineRule="exact"/>
        <w:rPr>
          <w:rFonts w:ascii="Times New Roman" w:cs="Times New Roman" w:eastAsia="Times New Roman" w:hAnsi="Times New Roman"/>
          <w:sz w:val="22"/>
          <w:szCs w:val="22"/>
          <w:b w:val="1"/>
          <w:bCs w:val="1"/>
          <w:color w:val="auto"/>
        </w:rPr>
      </w:pPr>
    </w:p>
    <w:p>
      <w:pPr>
        <w:jc w:val="both"/>
        <w:ind w:firstLine="2642"/>
        <w:spacing w:after="0" w:line="234" w:lineRule="auto"/>
        <w:tabs>
          <w:tab w:leader="none" w:pos="3546"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dispute has not been settled pursuant to the said rules within sixty (60) days following the filing of a request for mediation or within such other period as the Parties may agree in writing, either Party may submit the dispute to final and binding arbitration. Any dispute relating to the validity performance, construction or interpretation of this Termination Agreement, which cannot be resolved amicably between the Parties after following the procedure set forth in this Section 8.4, shall be submitted to arbitration in accordance with the Arbitration Rules of WIPO in effect on the date of the commencement of the arbitration proceedings. The location of the arbitration proceedings will be New York City, New York, USA. The number of arbitrators will be three (3). The language of the arbitration proceeding will be English. The decision of the arbitrators shall be final and binding upon the Parties (absent manifest error on the part of the arbitrator(s)) and enforceable in any court of competent jurisdiction.</w:t>
      </w:r>
    </w:p>
    <w:p>
      <w:pPr>
        <w:spacing w:after="0" w:line="18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8.5 Entire Agreement; Amendments. </w:t>
      </w:r>
      <w:r>
        <w:rPr>
          <w:rFonts w:ascii="Times New Roman" w:cs="Times New Roman" w:eastAsia="Times New Roman" w:hAnsi="Times New Roman"/>
          <w:sz w:val="22"/>
          <w:szCs w:val="22"/>
          <w:color w:val="auto"/>
        </w:rPr>
        <w:t>This Termination Agreement contains the entire understanding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regarding the termination of the Co-Development Agreement. Any other express or implied agreements and understandings, negotiations, writings and commitments, either oral or written, in respect to the termination of the Co-Development Agreement are superseded by the terms of this Termination Agreement.</w:t>
      </w:r>
    </w:p>
    <w:p>
      <w:pPr>
        <w:spacing w:after="0" w:line="172"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8.6 Waiver of Rule of Construction. </w:t>
      </w:r>
      <w:r>
        <w:rPr>
          <w:rFonts w:ascii="Times New Roman" w:cs="Times New Roman" w:eastAsia="Times New Roman" w:hAnsi="Times New Roman"/>
          <w:sz w:val="22"/>
          <w:szCs w:val="22"/>
          <w:color w:val="auto"/>
        </w:rPr>
        <w:t>Each Party has had the opportunity to consult with counsel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review, drafting and negotiation of this Termination Agreement. Accordingly, the rule of construction that any ambiguity in this Termination Agreement shall be construed against the drafting Party shall not apply.</w:t>
      </w:r>
    </w:p>
    <w:p>
      <w:pPr>
        <w:spacing w:after="0" w:line="16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8.7 Counterparts. </w:t>
      </w:r>
      <w:r>
        <w:rPr>
          <w:rFonts w:ascii="Times New Roman" w:cs="Times New Roman" w:eastAsia="Times New Roman" w:hAnsi="Times New Roman"/>
          <w:sz w:val="22"/>
          <w:szCs w:val="22"/>
          <w:color w:val="auto"/>
        </w:rPr>
        <w:t>This Termination Agreement may be executed in two or more counterparts by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signature, facsimile or PDF files, each of which shall be deemed an original, but all of which together shall constitute one and the same instrument.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bound have caused this Termination Agreement to be executed by their duly authorized representatives as of the Effective Termination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Arcturus Therapeutics, Inc.</w:t>
            </w: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b w:val="1"/>
                <w:bCs w:val="1"/>
                <w:color w:val="auto"/>
              </w:rPr>
              <w:t>CureVac AG</w:t>
            </w:r>
          </w:p>
        </w:tc>
      </w:tr>
      <w:tr>
        <w:trPr>
          <w:trHeight w:val="663"/>
        </w:trPr>
        <w:tc>
          <w:tcPr>
            <w:tcW w:w="5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Joseph Payne</w:t>
            </w: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22"/>
                <w:szCs w:val="22"/>
                <w:color w:val="auto"/>
              </w:rPr>
              <w:t>/s/ Daniel Menichella</w:t>
            </w:r>
          </w:p>
        </w:tc>
      </w:tr>
      <w:tr>
        <w:trPr>
          <w:trHeight w:val="20"/>
        </w:trPr>
        <w:tc>
          <w:tcPr>
            <w:tcW w:w="58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r>
      <w:tr>
        <w:trPr>
          <w:trHeight w:val="425"/>
        </w:trPr>
        <w:tc>
          <w:tcPr>
            <w:tcW w:w="5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Name:Joseph Payne</w:t>
            </w: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Name:Daniel Menichella</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Chief Executive Officer</w:t>
            </w: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Title: Chief Executive Officer</w:t>
            </w:r>
          </w:p>
        </w:tc>
      </w:tr>
      <w:tr>
        <w:trPr>
          <w:trHeight w:val="663"/>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Dr. Franz-Werner Haas</w:t>
            </w:r>
          </w:p>
        </w:tc>
      </w:tr>
      <w:tr>
        <w:trPr>
          <w:trHeight w:val="425"/>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Name:Dr. Franz-Werner Haas</w:t>
            </w:r>
          </w:p>
        </w:tc>
      </w:tr>
      <w:tr>
        <w:trPr>
          <w:trHeight w:val="283"/>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Title: Chief Operating Officer</w:t>
            </w:r>
          </w:p>
        </w:tc>
      </w:tr>
    </w:tbl>
    <w:p>
      <w:pPr>
        <w:sectPr>
          <w:pgSz w:w="11900" w:h="16838" w:orient="portrait"/>
          <w:cols w:equalWidth="0" w:num="1">
            <w:col w:w="11420"/>
          </w:cols>
          <w:pgMar w:left="240" w:top="328"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806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333"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Sassine, certify that:</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806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Andrew Sassine</w:t>
      </w:r>
    </w:p>
    <w:p>
      <w:pPr>
        <w:spacing w:after="0" w:line="3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333"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4" w:lineRule="exact"/>
        <w:rPr>
          <w:sz w:val="20"/>
          <w:szCs w:val="20"/>
          <w:color w:val="auto"/>
        </w:rPr>
      </w:pPr>
    </w:p>
    <w:p>
      <w:pPr>
        <w:spacing w:after="0"/>
        <w:tabs>
          <w:tab w:leader="none" w:pos="5760" w:val="left"/>
          <w:tab w:leader="none" w:pos="806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420"/>
          </w:cols>
          <w:pgMar w:left="240" w:top="333"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2019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4" w:lineRule="exact"/>
        <w:rPr>
          <w:sz w:val="20"/>
          <w:szCs w:val="20"/>
          <w:color w:val="auto"/>
        </w:rPr>
      </w:pPr>
    </w:p>
    <w:p>
      <w:pPr>
        <w:spacing w:after="0"/>
        <w:tabs>
          <w:tab w:leader="none" w:pos="5760" w:val="left"/>
          <w:tab w:leader="none" w:pos="8060" w:val="left"/>
        </w:tabs>
        <w:rPr>
          <w:sz w:val="20"/>
          <w:szCs w:val="20"/>
          <w:color w:val="auto"/>
        </w:rPr>
      </w:pPr>
      <w:r>
        <w:rPr>
          <w:rFonts w:ascii="Times New Roman" w:cs="Times New Roman" w:eastAsia="Times New Roman" w:hAnsi="Times New Roman"/>
          <w:sz w:val="18"/>
          <w:szCs w:val="18"/>
          <w:color w:val="auto"/>
        </w:rPr>
        <w:t>Date: August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Andrew Sassine</w:t>
      </w:r>
    </w:p>
    <w:p>
      <w:pPr>
        <w:spacing w:after="0" w:line="3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606"/>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0"/>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606"/>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614FD4A1"/>
    <w:multiLevelType w:val="hybridMultilevel"/>
    <w:lvl w:ilvl="0">
      <w:lvlJc w:val="left"/>
      <w:lvlText w:val="%1."/>
      <w:numFmt w:val="decimal"/>
      <w:start w:val="2"/>
    </w:lvl>
  </w:abstractNum>
  <w:abstractNum w:abstractNumId="16">
    <w:nsid w:val="419AC241"/>
    <w:multiLevelType w:val="hybridMultilevel"/>
    <w:lvl w:ilvl="0">
      <w:lvlJc w:val="left"/>
      <w:lvlText w:val="(%1)"/>
      <w:numFmt w:val="lowerLetter"/>
      <w:start w:val="1"/>
    </w:lvl>
    <w:lvl w:ilvl="1">
      <w:lvlJc w:val="left"/>
      <w:lvlText w:val="(%2)"/>
      <w:numFmt w:val="lowerRoman"/>
      <w:start w:val="1"/>
    </w:lvl>
  </w:abstractNum>
  <w:abstractNum w:abstractNumId="17">
    <w:nsid w:val="5577F8E1"/>
    <w:multiLevelType w:val="hybridMultilevel"/>
    <w:lvl w:ilvl="0">
      <w:lvlJc w:val="left"/>
      <w:lvlText w:val="(%1)"/>
      <w:numFmt w:val="lowerLetter"/>
      <w:start w:val="3"/>
    </w:lvl>
    <w:lvl w:ilvl="1">
      <w:lvlJc w:val="left"/>
      <w:lvlText w:val="[***]"/>
      <w:numFmt w:val="bullet"/>
      <w:start w:val="1"/>
    </w:lvl>
  </w:abstractNum>
  <w:abstractNum w:abstractNumId="18">
    <w:nsid w:val="440BADFC"/>
    <w:multiLevelType w:val="hybridMultilevel"/>
    <w:lvl w:ilvl="0">
      <w:lvlJc w:val="left"/>
      <w:lvlText w:val="(%1)"/>
      <w:numFmt w:val="lowerRoman"/>
      <w:start w:val="1"/>
    </w:lvl>
  </w:abstractNum>
  <w:abstractNum w:abstractNumId="19">
    <w:nsid w:val="5072367"/>
    <w:multiLevelType w:val="hybridMultilevel"/>
    <w:lvl w:ilvl="0">
      <w:lvlJc w:val="left"/>
      <w:lvlText w:val="(%1)"/>
      <w:numFmt w:val="lowerRoman"/>
      <w:start w:val="3"/>
    </w:lvl>
  </w:abstractNum>
  <w:abstractNum w:abstractNumId="20">
    <w:nsid w:val="3804823E"/>
    <w:multiLevelType w:val="hybridMultilevel"/>
    <w:lvl w:ilvl="0">
      <w:lvlJc w:val="left"/>
      <w:lvlText w:val="(%1)"/>
      <w:numFmt w:val="lowerLetter"/>
      <w:start w:val="5"/>
    </w:lvl>
  </w:abstractNum>
  <w:abstractNum w:abstractNumId="21">
    <w:nsid w:val="77465F01"/>
    <w:multiLevelType w:val="hybridMultilevel"/>
    <w:lvl w:ilvl="0">
      <w:lvlJc w:val="left"/>
      <w:lvlText w:val="%1."/>
      <w:numFmt w:val="decimal"/>
      <w:start w:val="3"/>
    </w:lvl>
  </w:abstractNum>
  <w:abstractNum w:abstractNumId="22">
    <w:nsid w:val="7724C67E"/>
    <w:multiLevelType w:val="hybridMultilevel"/>
    <w:lvl w:ilvl="0">
      <w:lvlJc w:val="left"/>
      <w:lvlText w:val="%1."/>
      <w:numFmt w:val="decimal"/>
      <w:start w:val="4"/>
    </w:lvl>
    <w:lvl w:ilvl="1">
      <w:lvlJc w:val="left"/>
      <w:lvlText w:val="•"/>
      <w:numFmt w:val="bullet"/>
      <w:start w:val="1"/>
    </w:lvl>
  </w:abstractNum>
  <w:abstractNum w:abstractNumId="23">
    <w:nsid w:val="5C482A97"/>
    <w:multiLevelType w:val="hybridMultilevel"/>
    <w:lvl w:ilvl="0">
      <w:lvlJc w:val="left"/>
      <w:lvlText w:val="%1."/>
      <w:numFmt w:val="decimal"/>
      <w:start w:val="5"/>
    </w:lvl>
    <w:lvl w:ilvl="1">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9"/>
    </w:lvl>
  </w:abstractNum>
  <w:abstractNum w:abstractNumId="29">
    <w:nsid w:val="153EA438"/>
    <w:multiLevelType w:val="hybridMultilevel"/>
    <w:lvl w:ilvl="0">
      <w:lvlJc w:val="left"/>
      <w:lvlText w:val="(%1)"/>
      <w:numFmt w:val="upperLetter"/>
      <w:start w:val="1"/>
    </w:lvl>
  </w:abstractNum>
  <w:abstractNum w:abstractNumId="30">
    <w:nsid w:val="3855585C"/>
    <w:multiLevelType w:val="hybridMultilevel"/>
    <w:lvl w:ilvl="0">
      <w:lvlJc w:val="left"/>
      <w:lvlText w:val="(%1)"/>
      <w:numFmt w:val="upperLetter"/>
      <w:start w:val="2"/>
    </w:lvl>
  </w:abstractNum>
  <w:abstractNum w:abstractNumId="31">
    <w:nsid w:val="70A64E2A"/>
    <w:multiLevelType w:val="hybridMultilevel"/>
    <w:lvl w:ilvl="0">
      <w:lvlJc w:val="left"/>
      <w:lvlText w:val="%1"/>
      <w:numFmt w:val="decimal"/>
      <w:start w:val="1"/>
    </w:lvl>
    <w:lvl w:ilvl="1">
      <w:lvlJc w:val="left"/>
      <w:lvlText w:val="(%2)"/>
      <w:numFmt w:val="lowerRoman"/>
      <w:start w:val="2"/>
    </w:lvl>
  </w:abstractNum>
  <w:abstractNum w:abstractNumId="32">
    <w:nsid w:val="6A2342EC"/>
    <w:multiLevelType w:val="hybridMultilevel"/>
    <w:lvl w:ilvl="0">
      <w:lvlJc w:val="left"/>
      <w:lvlText w:val="%1."/>
      <w:numFmt w:val="decimal"/>
      <w:start w:val="3"/>
    </w:lvl>
    <w:lvl w:ilvl="1">
      <w:lvlJc w:val="left"/>
      <w:lvlText w:val="%2"/>
      <w:numFmt w:val="lowerRoman"/>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9"/>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3"/>
    </w:lvl>
    <w:lvl w:ilvl="1">
      <w:lvlJc w:val="left"/>
      <w:lvlText w:val="(%2)"/>
      <w:numFmt w:val="lowerLetter"/>
      <w:start w:val="9"/>
    </w:lvl>
  </w:abstractNum>
  <w:abstractNum w:abstractNumId="37">
    <w:nsid w:val="57E4CCAF"/>
    <w:multiLevelType w:val="hybridMultilevel"/>
    <w:lvl w:ilvl="0">
      <w:lvlJc w:val="left"/>
      <w:lvlText w:val="%1"/>
      <w:numFmt w:val="lowerLetter"/>
      <w:start w:val="1"/>
    </w:lvl>
    <w:lvl w:ilvl="1">
      <w:lvlJc w:val="left"/>
      <w:lvlText w:val="(%2)"/>
      <w:numFmt w:val="lowerRoman"/>
      <w:start w:val="4"/>
    </w:lvl>
  </w:abstractNum>
  <w:abstractNum w:abstractNumId="38">
    <w:nsid w:val="7A6D8D3C"/>
    <w:multiLevelType w:val="hybridMultilevel"/>
    <w:lvl w:ilvl="0">
      <w:lvlJc w:val="left"/>
      <w:lvlText w:val="(%1)"/>
      <w:numFmt w:val="lowerLetter"/>
      <w:start w:val="4"/>
    </w:lvl>
    <w:lvl w:ilvl="1">
      <w:lvlJc w:val="left"/>
      <w:lvlText w:val="(%2)"/>
      <w:numFmt w:val="lowerRoman"/>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decimal"/>
      <w:start w:val="7"/>
    </w:lvl>
  </w:abstractNum>
  <w:abstractNum w:abstractNumId="44">
    <w:nsid w:val="32FFF902"/>
    <w:multiLevelType w:val="hybridMultilevel"/>
    <w:lvl w:ilvl="0">
      <w:lvlJc w:val="left"/>
      <w:lvlText w:val="%1."/>
      <w:numFmt w:val="decimal"/>
      <w:start w:val="8"/>
    </w:lvl>
  </w:abstractNum>
  <w:abstractNum w:abstractNumId="45">
    <w:nsid w:val="684A481A"/>
    <w:multiLevelType w:val="hybridMultilevel"/>
    <w:lvl w:ilvl="0">
      <w:lvlJc w:val="left"/>
      <w:lvlText w:val="%1."/>
      <w:numFmt w:val="decimal"/>
      <w:start w:val="9"/>
    </w:lvl>
  </w:abstractNum>
  <w:abstractNum w:abstractNumId="46">
    <w:nsid w:val="579478FE"/>
    <w:multiLevelType w:val="hybridMultilevel"/>
    <w:lvl w:ilvl="0">
      <w:lvlJc w:val="left"/>
      <w:lvlText w:val="%1."/>
      <w:numFmt w:val="decimal"/>
      <w:start w:val="10"/>
    </w:lvl>
  </w:abstractNum>
  <w:abstractNum w:abstractNumId="47">
    <w:nsid w:val="749ABB43"/>
    <w:multiLevelType w:val="hybridMultilevel"/>
    <w:lvl w:ilvl="0">
      <w:lvlJc w:val="left"/>
      <w:lvlText w:val="%1."/>
      <w:numFmt w:val="decimal"/>
      <w:start w:val="1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2"/>
    </w:lvl>
    <w:lvl w:ilvl="1">
      <w:lvlJc w:val="left"/>
      <w:lvlText w:val="(%2)"/>
      <w:numFmt w:val="lowerRoman"/>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49" Type="http://schemas.openxmlformats.org/officeDocument/2006/relationships/hyperlink" Target="http://www.sec.gov/Archives/edgar/data/0001566049/000156459019008092/arct-ex1013_446.htm" TargetMode="External"/><Relationship Id="rId50" Type="http://schemas.openxmlformats.org/officeDocument/2006/relationships/hyperlink" Target="http://www.sec.gov/Archives/edgar/data/1566049/000114420417061720/tv480453_ex4-1.htm" TargetMode="External"/><Relationship Id="rId51" Type="http://schemas.openxmlformats.org/officeDocument/2006/relationships/hyperlink" Target="http://www.sec.gov/Archives/edgar/data/1566049/000119380518001024/e618195_ex99-3.htm" TargetMode="External"/><Relationship Id="rId52" Type="http://schemas.openxmlformats.org/officeDocument/2006/relationships/hyperlink" Target="http://www.sec.gov/Archives/edgar/data/1566049/000119380518001024/e618195_ex99-2.htm" TargetMode="External"/><Relationship Id="rId53" Type="http://schemas.openxmlformats.org/officeDocument/2006/relationships/hyperlink" Target="http://www.sec.gov/Archives/edgar/data/1566049/000114420417050441/v476068_ex99-2.htm" TargetMode="External"/><Relationship Id="rId54" Type="http://schemas.openxmlformats.org/officeDocument/2006/relationships/hyperlink" Target="http://www.sec.gov/Archives/edgar/data/1566049/000114420413010022/v335246_ex10-4.htm" TargetMode="External"/><Relationship Id="rId55" Type="http://schemas.openxmlformats.org/officeDocument/2006/relationships/hyperlink" Target="http://www.sec.gov/Archives/edgar/data/1566049/000114420417023306/v463955_ex4-3.htm" TargetMode="External"/><Relationship Id="rId56" Type="http://schemas.openxmlformats.org/officeDocument/2006/relationships/hyperlink" Target="http://www.sec.gov/Archives/edgar/data/0001566049/000114420417061720/tv480453_ex99-1.htm" TargetMode="External"/><Relationship Id="rId57" Type="http://schemas.openxmlformats.org/officeDocument/2006/relationships/hyperlink" Target="http://www.sec.gov/Archives/edgar/data/1566049/000156459018024268/arct-ex101_7.htm" TargetMode="External"/><Relationship Id="rId58" Type="http://schemas.openxmlformats.org/officeDocument/2006/relationships/hyperlink" Target="http://www.sec.gov/Archives/edgar/data/1566049/000156459018024268/arct-ex102_6.htm" TargetMode="External"/><Relationship Id="rId59" Type="http://schemas.openxmlformats.org/officeDocument/2006/relationships/hyperlink" Target="http://www.sec.gov/Archives/edgar/data/1566049/000156459018023735/arct-ex992_6.htm" TargetMode="External"/><Relationship Id="rId60" Type="http://schemas.openxmlformats.org/officeDocument/2006/relationships/hyperlink" Target="http://www.sec.gov/Archives/edgar/data/1566049/000156459018013460/arct-ex47_880.htm" TargetMode="External"/><Relationship Id="rId61" Type="http://schemas.openxmlformats.org/officeDocument/2006/relationships/hyperlink" Target="http://www.sec.gov/Archives/edgar/data/1566049/000156459018013460/arct-ex48_879.htm" TargetMode="External"/><Relationship Id="rId62" Type="http://schemas.openxmlformats.org/officeDocument/2006/relationships/hyperlink" Target="http://www.sec.gov/Archives/edgar/data/1566049/000156459018013460/arct-ex49_884.htm" TargetMode="External"/><Relationship Id="rId63" Type="http://schemas.openxmlformats.org/officeDocument/2006/relationships/hyperlink" Target="http://www.sec.gov/Archives/edgar/data/1566049/000156459018013460/arct-ex410_883.htm" TargetMode="External"/><Relationship Id="rId64" Type="http://schemas.openxmlformats.org/officeDocument/2006/relationships/hyperlink" Target="http://www.sec.gov/Archives/edgar/data/1566049/000156459018013460/arct-ex411_878.htm" TargetMode="External"/><Relationship Id="rId65" Type="http://schemas.openxmlformats.org/officeDocument/2006/relationships/hyperlink" Target="http://www.sec.gov/Archives/edgar/data/1566049/000156459018013460/arct-ex412_1677.htm" TargetMode="External"/><Relationship Id="rId68" Type="http://schemas.openxmlformats.org/officeDocument/2006/relationships/hyperlink" Target="http://www.sec.gov/Archives/edgar/data/1566049/000156459018013460/arct-ex413_1676.htm" TargetMode="External"/><Relationship Id="rId69" Type="http://schemas.openxmlformats.org/officeDocument/2006/relationships/hyperlink" Target="http://www.sec.gov/Archives/edgar/data/1566049/000156459018016705/arct-ex414_7.htm" TargetMode="External"/><Relationship Id="rId70" Type="http://schemas.openxmlformats.org/officeDocument/2006/relationships/hyperlink" Target="http://www.sec.gov/Archives/edgar/data/1566049/000156459018013460/arct-ex415_876.htm" TargetMode="External"/><Relationship Id="rId71" Type="http://schemas.openxmlformats.org/officeDocument/2006/relationships/hyperlink" Target="http://www.sec.gov/Archives/edgar/data/0001566049/000156459019011220/arct-ex1014_6.htm" TargetMode="External"/><Relationship Id="rId72" Type="http://schemas.openxmlformats.org/officeDocument/2006/relationships/hyperlink" Target="http://www.sec.gov/Archives/edgar/data/0001566049/000156459019008092/arct-ex1015_582.htm" TargetMode="External"/><Relationship Id="rId73" Type="http://schemas.openxmlformats.org/officeDocument/2006/relationships/hyperlink" Target="http://www.sec.gov/Archives/edgar/data/0001768224/000119312519212082/d776215dex11.htm" TargetMode="External"/><Relationship Id="rId74" Type="http://schemas.openxmlformats.org/officeDocument/2006/relationships/hyperlink" Target="http://www.sec.gov/Archives/edgar/data/0001768224/000119312519212082/d776215dex101.htm" TargetMode="External"/><Relationship Id="rId75" Type="http://schemas.openxmlformats.org/officeDocument/2006/relationships/hyperlink" Target="http://www.sec.gov/Archives/edgar/data/0001768224/000119312519212594/d717626dex101.htm" TargetMode="External"/><Relationship Id="rId76" Type="http://schemas.openxmlformats.org/officeDocument/2006/relationships/hyperlink" Target="http://www.sec.gov/Archives/edgar/data/0001566049/000119312519176908/d721252dex41.htm" TargetMode="External"/><Relationship Id="rId77" Type="http://schemas.openxmlformats.org/officeDocument/2006/relationships/hyperlink" Target="http://www.sec.gov/Archives/edgar/data/0001566049/000119312519176908/d721252dex101.htm" TargetMode="External"/><Relationship Id="rId78" Type="http://schemas.openxmlformats.org/officeDocument/2006/relationships/hyperlink" Target="http://www.sec.gov/Archives/edgar/data/0001566049/000119312519176908/d72125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2019-12-28T07:01:40Z</dcterms:created>
  <dcterms:modified xsi:type="dcterms:W3CDTF">2019-12-28T07:01:40Z</dcterms:modified>
</cp:coreProperties>
</file>