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(Amendment No. _______)*</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January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760" w:firstLine="5"/>
        <w:spacing w:after="0" w:line="563"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Capital, LLC</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40" w:right="79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1,379,806</w:t>
      </w:r>
    </w:p>
    <w:p>
      <w:pPr>
        <w:ind w:left="940" w:right="75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1,379,806</w:t>
      </w:r>
    </w:p>
    <w:p>
      <w:pPr>
        <w:ind w:left="940" w:right="32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1,379,806</w:t>
      </w:r>
    </w:p>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6.8%</w:t>
      </w:r>
    </w:p>
    <w:p>
      <w:pPr>
        <w:ind w:left="940" w:right="5480" w:hanging="932"/>
        <w:spacing w:after="0" w:line="528"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557"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Healthcare Master Fund, Ltd.</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6" w:lineRule="exact"/>
        <w:rPr>
          <w:sz w:val="20"/>
          <w:szCs w:val="20"/>
          <w:color w:val="auto"/>
        </w:rPr>
      </w:pPr>
    </w:p>
    <w:p>
      <w:pPr>
        <w:ind w:left="940" w:right="79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1,379,806</w:t>
      </w:r>
    </w:p>
    <w:p>
      <w:pPr>
        <w:ind w:left="940" w:right="75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1,379,806</w:t>
      </w:r>
    </w:p>
    <w:p>
      <w:pPr>
        <w:ind w:left="940" w:right="32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1,379,806</w:t>
      </w:r>
    </w:p>
    <w:p>
      <w:pPr>
        <w:ind w:left="7280" w:right="920" w:hanging="7272"/>
        <w:spacing w:after="0" w:line="277"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170" w:lineRule="exact"/>
        <w:rPr>
          <w:rFonts w:ascii="Arial" w:cs="Arial" w:eastAsia="Arial" w:hAnsi="Arial"/>
          <w:sz w:val="18"/>
          <w:szCs w:val="18"/>
          <w:color w:val="auto"/>
        </w:rPr>
      </w:pPr>
    </w:p>
    <w:p>
      <w:pPr>
        <w:ind w:left="940" w:right="47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6.8%</w:t>
      </w:r>
    </w:p>
    <w:p>
      <w:pPr>
        <w:ind w:left="940" w:right="5480" w:hanging="932"/>
        <w:spacing w:after="0" w:line="52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41"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Kevin Kotler</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40" w:right="79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 1,379,806</w:t>
      </w:r>
    </w:p>
    <w:p>
      <w:pPr>
        <w:ind w:left="940" w:right="75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 1,379,806</w:t>
      </w:r>
    </w:p>
    <w:p>
      <w:pPr>
        <w:ind w:left="940" w:right="32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1,379,806</w:t>
      </w:r>
    </w:p>
    <w:p>
      <w:pPr>
        <w:ind w:left="940" w:hanging="93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6.8%</w:t>
      </w:r>
    </w:p>
    <w:p>
      <w:pPr>
        <w:ind w:left="940" w:right="5480" w:hanging="932"/>
        <w:spacing w:after="0" w:line="528"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557"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CUSIP No</w:t>
            </w:r>
          </w:p>
        </w:tc>
        <w:tc>
          <w:tcPr>
            <w:tcW w:w="840" w:type="dxa"/>
            <w:vAlign w:val="bottom"/>
          </w:tcPr>
          <w:p>
            <w:pPr>
              <w:spacing w:after="0"/>
              <w:rPr>
                <w:sz w:val="20"/>
                <w:szCs w:val="20"/>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tcPr>
          <w:p>
            <w:pPr>
              <w:spacing w:after="0"/>
              <w:rPr>
                <w:sz w:val="20"/>
                <w:szCs w:val="20"/>
                <w:color w:val="auto"/>
              </w:rPr>
            </w:pPr>
            <w:r>
              <w:rPr>
                <w:rFonts w:ascii="Arial" w:cs="Arial" w:eastAsia="Arial" w:hAnsi="Arial"/>
                <w:sz w:val="18"/>
                <w:szCs w:val="18"/>
                <w:color w:val="auto"/>
              </w:rPr>
              <w:t>Name of Issuer: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Alcobra Ltd.</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Amot Investment Building, 2 Weizman Street</w:t>
            </w:r>
          </w:p>
        </w:tc>
        <w:tc>
          <w:tcPr>
            <w:tcW w:w="120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Tel Aviv, Israel 6423902</w:t>
            </w:r>
          </w:p>
        </w:tc>
        <w:tc>
          <w:tcPr>
            <w:tcW w:w="1200" w:type="dxa"/>
            <w:vAlign w:val="bottom"/>
          </w:tcPr>
          <w:p>
            <w:pPr>
              <w:spacing w:after="0"/>
              <w:rPr>
                <w:sz w:val="20"/>
                <w:szCs w:val="20"/>
                <w:color w:val="auto"/>
              </w:rPr>
            </w:pPr>
          </w:p>
        </w:tc>
      </w:tr>
      <w:tr>
        <w:trPr>
          <w:trHeight w:val="64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tcPr>
          <w:p>
            <w:pPr>
              <w:spacing w:after="0"/>
              <w:rPr>
                <w:sz w:val="20"/>
                <w:szCs w:val="20"/>
                <w:color w:val="auto"/>
              </w:rPr>
            </w:pPr>
            <w:r>
              <w:rPr>
                <w:rFonts w:ascii="Arial" w:cs="Arial" w:eastAsia="Arial" w:hAnsi="Arial"/>
                <w:sz w:val="18"/>
                <w:szCs w:val="18"/>
                <w:color w:val="auto"/>
              </w:rPr>
              <w:t>Name of Person Filing:</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200" w:type="dxa"/>
            <w:vAlign w:val="bottom"/>
          </w:tcPr>
          <w:p>
            <w:pPr>
              <w:spacing w:after="0"/>
              <w:rPr>
                <w:sz w:val="24"/>
                <w:szCs w:val="24"/>
                <w:color w:val="auto"/>
              </w:rPr>
            </w:pPr>
          </w:p>
        </w:tc>
      </w:tr>
      <w:tr>
        <w:trPr>
          <w:trHeight w:val="40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20 Genesis Close</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Ansbacher House, Second Floor</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P.O. Box 1344</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Grand Cayman KY1-1108</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Cayman Islands</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 Broadfin Capital, LLC</w:t>
            </w:r>
          </w:p>
        </w:tc>
        <w:tc>
          <w:tcPr>
            <w:tcW w:w="1200" w:type="dxa"/>
            <w:vAlign w:val="bottom"/>
          </w:tcPr>
          <w:p>
            <w:pPr>
              <w:spacing w:after="0"/>
              <w:rPr>
                <w:sz w:val="17"/>
                <w:szCs w:val="17"/>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(c)</w:t>
            </w:r>
          </w:p>
        </w:tc>
        <w:tc>
          <w:tcPr>
            <w:tcW w:w="8480" w:type="dxa"/>
            <w:vAlign w:val="bottom"/>
          </w:tcPr>
          <w:p>
            <w:pPr>
              <w:spacing w:after="0"/>
              <w:rPr>
                <w:sz w:val="20"/>
                <w:szCs w:val="20"/>
                <w:color w:val="auto"/>
              </w:rPr>
            </w:pPr>
            <w:r>
              <w:rPr>
                <w:rFonts w:ascii="Arial" w:cs="Arial" w:eastAsia="Arial" w:hAnsi="Arial"/>
                <w:sz w:val="18"/>
                <w:szCs w:val="18"/>
                <w:color w:val="auto"/>
              </w:rPr>
              <w:t>Citizenship:</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Broadfin Capital, LLC – Delaware</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Broadfin Healthcare Master Fund, Ltd. – Cayman Islands</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Kevin Kotler – 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(d).</w:t>
            </w:r>
          </w:p>
        </w:tc>
        <w:tc>
          <w:tcPr>
            <w:tcW w:w="848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 par value NIS 0.01 per share</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(e).</w:t>
            </w:r>
          </w:p>
        </w:tc>
        <w:tc>
          <w:tcPr>
            <w:tcW w:w="8480" w:type="dxa"/>
            <w:vAlign w:val="bottom"/>
          </w:tcPr>
          <w:p>
            <w:pPr>
              <w:spacing w:after="0"/>
              <w:rPr>
                <w:sz w:val="20"/>
                <w:szCs w:val="20"/>
                <w:color w:val="auto"/>
              </w:rPr>
            </w:pPr>
            <w:r>
              <w:rPr>
                <w:rFonts w:ascii="Arial" w:cs="Arial" w:eastAsia="Arial" w:hAnsi="Arial"/>
                <w:sz w:val="18"/>
                <w:szCs w:val="18"/>
                <w:color w:val="auto"/>
              </w:rPr>
              <w:t>CUSIP Number: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c>
          <w:tcPr>
            <w:tcW w:w="1200" w:type="dxa"/>
            <w:vAlign w:val="bottom"/>
          </w:tcPr>
          <w:p>
            <w:pPr>
              <w:spacing w:after="0"/>
              <w:rPr>
                <w:sz w:val="24"/>
                <w:szCs w:val="24"/>
                <w:color w:val="auto"/>
              </w:rPr>
            </w:pPr>
          </w:p>
        </w:tc>
      </w:tr>
      <w:tr>
        <w:trPr>
          <w:trHeight w:val="399"/>
        </w:trPr>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5" w:name="page6"/>
    <w:bookmarkEnd w:id="5"/>
    <w:p>
      <w:pPr>
        <w:spacing w:after="0"/>
        <w:tabs>
          <w:tab w:leader="none" w:pos="1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Statement is filed pursuant to ss.240.13d-1(b) or 240.13d-2(b), or (c), check whether the person filing is a</w:t>
      </w:r>
    </w:p>
    <w:p>
      <w:pPr>
        <w:spacing w:after="0" w:line="225" w:lineRule="exact"/>
        <w:rPr>
          <w:sz w:val="20"/>
          <w:szCs w:val="20"/>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340" w:hanging="1319"/>
        <w:spacing w:after="0" w:line="277" w:lineRule="auto"/>
        <w:tabs>
          <w:tab w:leader="none" w:pos="17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341" w:right="79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Broadfin Capital, LLC – 1,379,806</w:t>
      </w:r>
    </w:p>
    <w:p>
      <w:pPr>
        <w:spacing w:after="0" w:line="23" w:lineRule="exact"/>
        <w:rPr>
          <w:rFonts w:ascii="Arial" w:cs="Arial" w:eastAsia="Arial" w:hAnsi="Arial"/>
          <w:sz w:val="18"/>
          <w:szCs w:val="18"/>
          <w:color w:val="auto"/>
        </w:rPr>
      </w:pPr>
    </w:p>
    <w:p>
      <w:pPr>
        <w:ind w:left="1740" w:right="580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1,379,806 Kevin Kotler – 1,379,806</w:t>
      </w:r>
    </w:p>
    <w:p>
      <w:pPr>
        <w:spacing w:after="0" w:line="210" w:lineRule="exact"/>
        <w:rPr>
          <w:rFonts w:ascii="Arial" w:cs="Arial" w:eastAsia="Arial" w:hAnsi="Arial"/>
          <w:sz w:val="18"/>
          <w:szCs w:val="18"/>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Broadfin Capital, LLC – 6.8%</w:t>
      </w:r>
    </w:p>
    <w:p>
      <w:pPr>
        <w:spacing w:after="0" w:line="23" w:lineRule="exact"/>
        <w:rPr>
          <w:rFonts w:ascii="Arial" w:cs="Arial" w:eastAsia="Arial" w:hAnsi="Arial"/>
          <w:sz w:val="18"/>
          <w:szCs w:val="18"/>
          <w:color w:val="auto"/>
        </w:rPr>
      </w:pPr>
    </w:p>
    <w:p>
      <w:pPr>
        <w:ind w:left="1740" w:right="61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6.8% Kevin Kotler – 6.8%</w:t>
      </w:r>
    </w:p>
    <w:p>
      <w:pPr>
        <w:spacing w:after="0" w:line="210" w:lineRule="exact"/>
        <w:rPr>
          <w:rFonts w:ascii="Arial" w:cs="Arial" w:eastAsia="Arial" w:hAnsi="Arial"/>
          <w:sz w:val="18"/>
          <w:szCs w:val="18"/>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80" w:right="57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1,379,806</w:t>
      </w:r>
    </w:p>
    <w:p>
      <w:pPr>
        <w:spacing w:after="0" w:line="23" w:lineRule="exact"/>
        <w:rPr>
          <w:rFonts w:ascii="Arial" w:cs="Arial" w:eastAsia="Arial" w:hAnsi="Arial"/>
          <w:sz w:val="18"/>
          <w:szCs w:val="18"/>
          <w:color w:val="auto"/>
        </w:rPr>
      </w:pPr>
    </w:p>
    <w:p>
      <w:pPr>
        <w:ind w:left="2380" w:right="516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1,379,806 Kevin Kotler – 1,379,806</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80" w:right="57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1,379,806</w:t>
      </w:r>
    </w:p>
    <w:p>
      <w:pPr>
        <w:spacing w:after="0" w:line="23" w:lineRule="exact"/>
        <w:rPr>
          <w:rFonts w:ascii="Arial" w:cs="Arial" w:eastAsia="Arial" w:hAnsi="Arial"/>
          <w:sz w:val="18"/>
          <w:szCs w:val="18"/>
          <w:color w:val="auto"/>
        </w:rPr>
      </w:pPr>
    </w:p>
    <w:p>
      <w:pPr>
        <w:ind w:left="2380" w:right="516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1,379,806 Kevin Kotler – 1,379,806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-3595370</wp:posOffset>
            </wp:positionV>
            <wp:extent cx="61487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48705" cy="1714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-4436110</wp:posOffset>
            </wp:positionV>
            <wp:extent cx="61487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487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140" w:right="2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140" w:right="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left="1140" w:right="320"/>
        <w:spacing w:after="0" w:line="286" w:lineRule="auto"/>
        <w:rPr>
          <w:sz w:val="20"/>
          <w:szCs w:val="20"/>
          <w:color w:val="auto"/>
        </w:rPr>
      </w:pPr>
      <w:r>
        <w:rPr>
          <w:rFonts w:ascii="Arial" w:cs="Arial" w:eastAsia="Arial" w:hAnsi="Arial"/>
          <w:sz w:val="17"/>
          <w:szCs w:val="17"/>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8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140" w:right="14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65690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080" w:right="36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6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January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2958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16"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5715</wp:posOffset>
            </wp:positionV>
            <wp:extent cx="2958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2958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16"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jc w:val="center"/>
        <w:ind w:left="2280"/>
        <w:spacing w:after="0"/>
        <w:rPr>
          <w:sz w:val="20"/>
          <w:szCs w:val="20"/>
          <w:color w:val="auto"/>
        </w:rPr>
      </w:pPr>
      <w:r>
        <w:rPr>
          <w:rFonts w:ascii="Arial" w:cs="Arial" w:eastAsia="Arial" w:hAnsi="Arial"/>
          <w:sz w:val="18"/>
          <w:szCs w:val="18"/>
          <w:color w:val="auto"/>
        </w:rPr>
        <w:t>January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28987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center"/>
        <w:ind w:left="22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5715</wp:posOffset>
            </wp:positionV>
            <wp:extent cx="28987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228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2898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center"/>
        <w:ind w:left="22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January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14605</wp:posOffset>
            </wp:positionV>
            <wp:extent cx="29502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16"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14605</wp:posOffset>
            </wp:positionV>
            <wp:extent cx="29502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16"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14605</wp:posOffset>
            </wp:positionV>
            <wp:extent cx="29502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disclaim beneficial ownership in the shares reported herein except to the extent of their pecuniary interest therein.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undersigned agree that this Schedule 13G dated January 16, 2015 relating to the Ordinary Shares of Alcobra Ltd. shall be filed on behalf of the undersigned.</w:t>
      </w:r>
    </w:p>
    <w:p>
      <w:pPr>
        <w:spacing w:after="0" w:line="387" w:lineRule="exact"/>
        <w:rPr>
          <w:sz w:val="20"/>
          <w:szCs w:val="20"/>
          <w:color w:val="auto"/>
        </w:rPr>
      </w:pPr>
    </w:p>
    <w:p>
      <w:pPr>
        <w:jc w:val="center"/>
        <w:ind w:left="2360"/>
        <w:spacing w:after="0"/>
        <w:rPr>
          <w:sz w:val="20"/>
          <w:szCs w:val="20"/>
          <w:color w:val="auto"/>
        </w:rPr>
      </w:pPr>
      <w:r>
        <w:rPr>
          <w:rFonts w:ascii="Arial" w:cs="Arial" w:eastAsia="Arial" w:hAnsi="Arial"/>
          <w:sz w:val="18"/>
          <w:szCs w:val="18"/>
          <w:color w:val="auto"/>
        </w:rPr>
        <w:t>January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14605</wp:posOffset>
            </wp:positionV>
            <wp:extent cx="28473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16" w:lineRule="exact"/>
        <w:rPr>
          <w:sz w:val="20"/>
          <w:szCs w:val="20"/>
          <w:color w:val="auto"/>
        </w:rPr>
      </w:pPr>
    </w:p>
    <w:p>
      <w:pPr>
        <w:jc w:val="center"/>
        <w:ind w:left="23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236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236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5715</wp:posOffset>
            </wp:positionV>
            <wp:extent cx="28473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236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14605</wp:posOffset>
            </wp:positionV>
            <wp:extent cx="28473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16" w:lineRule="exact"/>
        <w:rPr>
          <w:sz w:val="20"/>
          <w:szCs w:val="20"/>
          <w:color w:val="auto"/>
        </w:rPr>
      </w:pPr>
    </w:p>
    <w:p>
      <w:pPr>
        <w:jc w:val="center"/>
        <w:ind w:left="236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January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28727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72740" cy="17145"/>
                    </a:xfrm>
                    <a:prstGeom prst="rect">
                      <a:avLst/>
                    </a:prstGeom>
                    <a:noFill/>
                  </pic:spPr>
                </pic:pic>
              </a:graphicData>
            </a:graphic>
          </wp:anchor>
        </w:drawing>
      </w:r>
    </w:p>
    <w:p>
      <w:pPr>
        <w:spacing w:after="0" w:line="16"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5715</wp:posOffset>
            </wp:positionV>
            <wp:extent cx="28727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72740" cy="17145"/>
                    </a:xfrm>
                    <a:prstGeom prst="rect">
                      <a:avLst/>
                    </a:prstGeom>
                    <a:noFill/>
                  </pic:spPr>
                </pic:pic>
              </a:graphicData>
            </a:graphic>
          </wp:anchor>
        </w:drawing>
      </w:r>
    </w:p>
    <w:p>
      <w:pPr>
        <w:spacing w:after="0" w:line="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28727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72740" cy="17145"/>
                    </a:xfrm>
                    <a:prstGeom prst="rect">
                      <a:avLst/>
                    </a:prstGeom>
                    <a:noFill/>
                  </pic:spPr>
                </pic:pic>
              </a:graphicData>
            </a:graphic>
          </wp:anchor>
        </w:drawing>
      </w:r>
    </w:p>
    <w:p>
      <w:pPr>
        <w:spacing w:after="0" w:line="16"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jc w:val="center"/>
        <w:ind w:left="2380"/>
        <w:spacing w:after="0"/>
        <w:rPr>
          <w:sz w:val="20"/>
          <w:szCs w:val="20"/>
          <w:color w:val="auto"/>
        </w:rPr>
      </w:pPr>
      <w:r>
        <w:rPr>
          <w:rFonts w:ascii="Arial" w:cs="Arial" w:eastAsia="Arial" w:hAnsi="Arial"/>
          <w:sz w:val="18"/>
          <w:szCs w:val="18"/>
          <w:color w:val="auto"/>
        </w:rPr>
        <w:t>January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28384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38450" cy="17145"/>
                    </a:xfrm>
                    <a:prstGeom prst="rect">
                      <a:avLst/>
                    </a:prstGeom>
                    <a:noFill/>
                  </pic:spPr>
                </pic:pic>
              </a:graphicData>
            </a:graphic>
          </wp:anchor>
        </w:drawing>
      </w:r>
    </w:p>
    <w:p>
      <w:pPr>
        <w:spacing w:after="0" w:line="16" w:lineRule="exact"/>
        <w:rPr>
          <w:sz w:val="20"/>
          <w:szCs w:val="20"/>
          <w:color w:val="auto"/>
        </w:rPr>
      </w:pPr>
    </w:p>
    <w:p>
      <w:pPr>
        <w:jc w:val="center"/>
        <w:ind w:left="23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28384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38450" cy="1714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28384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3845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ectPr>
          <w:pgSz w:w="11900" w:h="16838" w:orient="portrait"/>
          <w:cols w:equalWidth="0" w:num="1">
            <w:col w:w="11340"/>
          </w:cols>
          <w:pgMar w:left="240" w:top="5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SK 25125 0001 6326845</w:t>
      </w:r>
    </w:p>
    <w:sectPr>
      <w:pgSz w:w="11900" w:h="16838" w:orient="portrait"/>
      <w:cols w:equalWidth="0" w:num="1">
        <w:col w:w="11340"/>
      </w:cols>
      <w:pgMar w:left="240" w:top="557"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2019-12-16T09:46:47Z</dcterms:created>
  <dcterms:modified xsi:type="dcterms:W3CDTF">2019-12-16T09:46:47Z</dcterms:modified>
</cp:coreProperties>
</file>