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OMB APPROVAL</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OMB Number: 3235-0145</w:t>
      </w:r>
    </w:p>
    <w:p>
      <w:pPr>
        <w:ind w:left="6800"/>
        <w:spacing w:after="0"/>
        <w:rPr>
          <w:sz w:val="20"/>
          <w:szCs w:val="20"/>
          <w:color w:val="auto"/>
        </w:rPr>
      </w:pPr>
      <w:r>
        <w:rPr>
          <w:rFonts w:ascii="Times New Roman" w:cs="Times New Roman" w:eastAsia="Times New Roman" w:hAnsi="Times New Roman"/>
          <w:sz w:val="21"/>
          <w:szCs w:val="21"/>
          <w:color w:val="auto"/>
        </w:rPr>
        <w:t>Estimated average burden hours per response ….11</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(Amendment No. 1*)</w:t>
      </w:r>
    </w:p>
    <w:p>
      <w:pPr>
        <w:spacing w:after="0" w:line="206"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03969T109</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2022</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382" w:lineRule="auto"/>
        <w:tabs>
          <w:tab w:leader="none" w:pos="20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-28575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-259715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-491490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8"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03969T109</w:t>
      </w:r>
    </w:p>
    <w:p>
      <w:pPr>
        <w:spacing w:after="0" w:line="220" w:lineRule="exact"/>
        <w:rPr>
          <w:sz w:val="20"/>
          <w:szCs w:val="20"/>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4,239,554</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4,239,554</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4,239,554</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16.00%</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Voting Shares Irrevocable Trust</w:t>
      </w: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4,239,554</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4,239,554</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139"/>
          </w:cols>
          <w:pgMar w:left="320" w:top="706" w:right="1440" w:bottom="0" w:gutter="0" w:footer="0" w:header="0"/>
        </w:sectPr>
      </w:pPr>
    </w:p>
    <w:bookmarkStart w:id="2" w:name="page3"/>
    <w:bookmarkEnd w:id="2"/>
    <w:p>
      <w:pPr>
        <w:spacing w:after="0" w:line="62" w:lineRule="exact"/>
        <w:rPr>
          <w:sz w:val="20"/>
          <w:szCs w:val="20"/>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4,239,554</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16.00%</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Thomas R. Donahue</w:t>
      </w: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4,239,554</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 4,239,554</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4,239,554</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16.00%</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hanging="918"/>
        <w:spacing w:after="0"/>
        <w:tabs>
          <w:tab w:leader="none" w:pos="15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20" w:right="357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J. Christopher Donahue</w:t>
      </w:r>
    </w:p>
    <w:p>
      <w:pPr>
        <w:ind w:left="1520" w:hanging="918"/>
        <w:spacing w:after="0"/>
        <w:tabs>
          <w:tab w:leader="none" w:pos="15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20" w:hanging="918"/>
        <w:spacing w:after="0"/>
        <w:tabs>
          <w:tab w:leader="none" w:pos="15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20" w:hanging="918"/>
        <w:spacing w:after="0"/>
        <w:tabs>
          <w:tab w:leader="none" w:pos="15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254625"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462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4,239,554</w:t>
            </w:r>
          </w:p>
        </w:tc>
      </w:tr>
      <w:tr>
        <w:trPr>
          <w:trHeight w:val="232"/>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26" w:right="1440" w:bottom="0" w:gutter="0" w:footer="0" w:header="0"/>
        </w:sectPr>
      </w:pPr>
    </w:p>
    <w:bookmarkStart w:id="3" w:name="page4"/>
    <w:bookmarkEnd w:id="3"/>
    <w:p>
      <w:pPr>
        <w:ind w:left="3300" w:hanging="938"/>
        <w:spacing w:after="0"/>
        <w:tabs>
          <w:tab w:leader="none" w:pos="3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w:t>
      </w:r>
    </w:p>
    <w:p>
      <w:pPr>
        <w:spacing w:after="0" w:line="220" w:lineRule="exact"/>
        <w:rPr>
          <w:rFonts w:ascii="Times New Roman" w:cs="Times New Roman" w:eastAsia="Times New Roman" w:hAnsi="Times New Roman"/>
          <w:sz w:val="22"/>
          <w:szCs w:val="22"/>
          <w:color w:val="auto"/>
        </w:rPr>
      </w:pPr>
    </w:p>
    <w:p>
      <w:pPr>
        <w:ind w:left="3300" w:hanging="938"/>
        <w:spacing w:after="0"/>
        <w:tabs>
          <w:tab w:leader="none" w:pos="3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4,239,554</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2"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4,239,554</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16.00%</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-1943100</wp:posOffset>
            </wp:positionV>
            <wp:extent cx="58293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60007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220" w:lineRule="exact"/>
        <w:rPr>
          <w:sz w:val="20"/>
          <w:szCs w:val="20"/>
          <w:color w:val="auto"/>
        </w:rPr>
      </w:pPr>
    </w:p>
    <w:p>
      <w:pPr>
        <w:ind w:left="1800" w:hanging="1098"/>
        <w:spacing w:after="0"/>
        <w:tabs>
          <w:tab w:leader="none" w:pos="1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19" w:lineRule="exact"/>
        <w:rPr>
          <w:rFonts w:ascii="Times New Roman" w:cs="Times New Roman" w:eastAsia="Times New Roman" w:hAnsi="Times New Roman"/>
          <w:sz w:val="22"/>
          <w:szCs w:val="22"/>
          <w:color w:val="auto"/>
        </w:rPr>
      </w:pP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ARCTURUS THERAPEUTICS HOLDINGS, INC.</w:t>
      </w:r>
    </w:p>
    <w:p>
      <w:pPr>
        <w:spacing w:after="0" w:line="219" w:lineRule="exact"/>
        <w:rPr>
          <w:rFonts w:ascii="Times New Roman" w:cs="Times New Roman" w:eastAsia="Times New Roman" w:hAnsi="Times New Roman"/>
          <w:sz w:val="22"/>
          <w:szCs w:val="22"/>
          <w:color w:val="auto"/>
        </w:rPr>
      </w:pPr>
    </w:p>
    <w:p>
      <w:pPr>
        <w:ind w:left="1800" w:right="5320" w:hanging="1098"/>
        <w:spacing w:after="0" w:line="469" w:lineRule="auto"/>
        <w:tabs>
          <w:tab w:leader="none" w:pos="180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 10628 Science Center Drive, Suite 250</w:t>
      </w:r>
    </w:p>
    <w:p>
      <w:pPr>
        <w:spacing w:after="0" w:line="1" w:lineRule="exact"/>
        <w:rPr>
          <w:rFonts w:ascii="Times New Roman" w:cs="Times New Roman" w:eastAsia="Times New Roman" w:hAnsi="Times New Roman"/>
          <w:sz w:val="21"/>
          <w:szCs w:val="21"/>
          <w:color w:val="auto"/>
        </w:rPr>
      </w:pPr>
    </w:p>
    <w:p>
      <w:pPr>
        <w:ind w:left="18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San Diego, CA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-1351280</wp:posOffset>
            </wp:positionV>
            <wp:extent cx="5383530" cy="1508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 Federated Hermes, Inc.</w:t>
      </w:r>
    </w:p>
    <w:p>
      <w:pPr>
        <w:spacing w:after="0" w:line="219" w:lineRule="exact"/>
        <w:rPr>
          <w:rFonts w:ascii="Times New Roman" w:cs="Times New Roman" w:eastAsia="Times New Roman" w:hAnsi="Times New Roman"/>
          <w:sz w:val="22"/>
          <w:szCs w:val="22"/>
          <w:color w:val="auto"/>
        </w:rPr>
      </w:pPr>
    </w:p>
    <w:p>
      <w:pPr>
        <w:ind w:left="1800" w:right="4240" w:hanging="1098"/>
        <w:spacing w:after="0" w:line="469" w:lineRule="auto"/>
        <w:tabs>
          <w:tab w:leader="none" w:pos="180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Principal Business Office or, if none, Residence 1001 Liberty Avenue, Pittsburgh, PA 15222-3779</w:t>
      </w:r>
    </w:p>
    <w:p>
      <w:pPr>
        <w:spacing w:after="0" w:line="1" w:lineRule="exact"/>
        <w:rPr>
          <w:rFonts w:ascii="Times New Roman" w:cs="Times New Roman" w:eastAsia="Times New Roman" w:hAnsi="Times New Roman"/>
          <w:sz w:val="21"/>
          <w:szCs w:val="21"/>
          <w:color w:val="auto"/>
        </w:rPr>
      </w:pPr>
    </w:p>
    <w:p>
      <w:pPr>
        <w:ind w:left="1800" w:hanging="1098"/>
        <w:spacing w:after="0"/>
        <w:tabs>
          <w:tab w:leader="none" w:pos="1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Pennsylvania</w:t>
      </w:r>
    </w:p>
    <w:p>
      <w:pPr>
        <w:spacing w:after="0" w:line="219" w:lineRule="exact"/>
        <w:rPr>
          <w:rFonts w:ascii="Times New Roman" w:cs="Times New Roman" w:eastAsia="Times New Roman" w:hAnsi="Times New Roman"/>
          <w:sz w:val="22"/>
          <w:szCs w:val="22"/>
          <w:color w:val="auto"/>
        </w:rPr>
      </w:pPr>
    </w:p>
    <w:p>
      <w:pPr>
        <w:ind w:left="1800" w:right="7120" w:hanging="1098"/>
        <w:spacing w:after="0" w:line="448" w:lineRule="auto"/>
        <w:tabs>
          <w:tab w:leader="none" w:pos="1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 Common Stock</w:t>
      </w:r>
    </w:p>
    <w:p>
      <w:pPr>
        <w:ind w:left="1800" w:hanging="1098"/>
        <w:spacing w:after="0"/>
        <w:tabs>
          <w:tab w:leader="none" w:pos="1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 03969T109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-1951355</wp:posOffset>
            </wp:positionV>
            <wp:extent cx="5383530" cy="2108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83530" cy="2108835"/>
                    </a:xfrm>
                    <a:prstGeom prst="rect">
                      <a:avLst/>
                    </a:prstGeom>
                    <a:noFill/>
                  </pic:spPr>
                </pic:pic>
              </a:graphicData>
            </a:graphic>
          </wp:anchor>
        </w:drawing>
      </w:r>
    </w:p>
    <w:p>
      <w:pPr>
        <w:spacing w:after="0" w:line="3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§§240.113d-1(b) or 240.13d-2(b) or (c), check whether the person filing is a:</w:t>
      </w:r>
    </w:p>
    <w:p>
      <w:pPr>
        <w:spacing w:after="0" w:line="105"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(d)</w:t>
            </w: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w:t>
            </w:r>
          </w:p>
        </w:tc>
      </w:tr>
      <w:tr>
        <w:trPr>
          <w:trHeight w:val="282"/>
        </w:trPr>
        <w:tc>
          <w:tcPr>
            <w:tcW w:w="1120" w:type="dxa"/>
            <w:vAlign w:val="bottom"/>
            <w:tcBorders>
              <w:left w:val="single" w:sz="8" w:color="auto"/>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U.S.C. 80a-8).</w:t>
            </w:r>
          </w:p>
        </w:tc>
      </w:tr>
      <w:tr>
        <w:trPr>
          <w:trHeight w:val="204"/>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investment adviser in accordance with §204.13d-1(b)(1)(ii)(E);</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§240.13d-19b)(1)(ii)(F);</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§240.13d-1(b)(1)(ii)(G);</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(h)</w:t>
            </w: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w:t>
            </w:r>
          </w:p>
        </w:tc>
      </w:tr>
      <w:tr>
        <w:trPr>
          <w:trHeight w:val="282"/>
        </w:trPr>
        <w:tc>
          <w:tcPr>
            <w:tcW w:w="1120" w:type="dxa"/>
            <w:vAlign w:val="bottom"/>
            <w:tcBorders>
              <w:left w:val="single" w:sz="8" w:color="auto"/>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1813);</w:t>
            </w:r>
          </w:p>
        </w:tc>
      </w:tr>
      <w:tr>
        <w:trPr>
          <w:trHeight w:val="204"/>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09"/>
        </w:trPr>
        <w:tc>
          <w:tcPr>
            <w:tcW w:w="11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(i)</w:t>
            </w: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w:t>
            </w:r>
          </w:p>
        </w:tc>
      </w:tr>
      <w:tr>
        <w:trPr>
          <w:trHeight w:val="282"/>
        </w:trPr>
        <w:tc>
          <w:tcPr>
            <w:tcW w:w="1120" w:type="dxa"/>
            <w:vAlign w:val="bottom"/>
            <w:tcBorders>
              <w:left w:val="single" w:sz="8" w:color="auto"/>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(14) of the Investment Company Act of 1940 (15 U.S.C. 80a-3);</w:t>
            </w:r>
          </w:p>
        </w:tc>
      </w:tr>
      <w:tr>
        <w:trPr>
          <w:trHeight w:val="204"/>
        </w:trPr>
        <w:tc>
          <w:tcPr>
            <w:tcW w:w="112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(j)</w:t>
            </w: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in accordance with §240.13d-1(b)(1)(ii)(J).</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bl>
    <w:p>
      <w:pPr>
        <w:spacing w:after="0" w:line="81" w:lineRule="exact"/>
        <w:rPr>
          <w:sz w:val="20"/>
          <w:szCs w:val="20"/>
          <w:color w:val="auto"/>
        </w:rPr>
      </w:pPr>
    </w:p>
    <w:p>
      <w:pPr>
        <w:sectPr>
          <w:pgSz w:w="11900" w:h="16838" w:orient="portrait"/>
          <w:cols w:equalWidth="0" w:num="1">
            <w:col w:w="11220"/>
          </w:cols>
          <w:pgMar w:left="320" w:top="112" w:right="359" w:bottom="0" w:gutter="0" w:footer="0" w:header="0"/>
        </w:sect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1220"/>
          </w:cols>
          <w:pgMar w:left="320" w:top="112" w:right="359" w:bottom="0" w:gutter="0" w:footer="0" w:header="0"/>
          <w:type w:val="continuous"/>
        </w:sectPr>
      </w:pPr>
    </w:p>
    <w:bookmarkStart w:id="4" w:name="page5"/>
    <w:bookmarkEnd w:id="4"/>
    <w:p>
      <w:pPr>
        <w:ind w:firstLine="648"/>
        <w:spacing w:after="0" w:line="259"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6"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Federated Hermes, Inc.</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4,239,554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16.00%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4,239,554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4,239,554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Voting Shares Irrevocable Trust</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4,239,554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16.00%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4,239,554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4,239,554</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0" w:hanging="1098"/>
        <w:spacing w:after="0"/>
        <w:tabs>
          <w:tab w:leader="none" w:pos="1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Thomas R.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-151130</wp:posOffset>
            </wp:positionV>
            <wp:extent cx="5383530" cy="2408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4,239,554</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16.00%</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to which the person has:</w:t>
      </w:r>
    </w:p>
    <w:p>
      <w:pPr>
        <w:spacing w:after="0" w:line="219" w:lineRule="exact"/>
        <w:rPr>
          <w:rFonts w:ascii="Times New Roman" w:cs="Times New Roman" w:eastAsia="Times New Roman" w:hAnsi="Times New Roman"/>
          <w:sz w:val="22"/>
          <w:szCs w:val="22"/>
          <w:color w:val="auto"/>
        </w:rPr>
      </w:pPr>
    </w:p>
    <w:p>
      <w:pPr>
        <w:ind w:left="2060" w:hanging="265"/>
        <w:spacing w:after="0"/>
        <w:tabs>
          <w:tab w:leader="none" w:pos="20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spacing w:after="0" w:line="219" w:lineRule="exact"/>
        <w:rPr>
          <w:rFonts w:ascii="Times New Roman" w:cs="Times New Roman" w:eastAsia="Times New Roman" w:hAnsi="Times New Roman"/>
          <w:sz w:val="22"/>
          <w:szCs w:val="22"/>
          <w:color w:val="auto"/>
        </w:rPr>
      </w:pPr>
    </w:p>
    <w:p>
      <w:pPr>
        <w:ind w:left="2120" w:hanging="325"/>
        <w:spacing w:after="0"/>
        <w:tabs>
          <w:tab w:leader="none" w:pos="212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4,239,554</w:t>
      </w:r>
    </w:p>
    <w:p>
      <w:pPr>
        <w:spacing w:after="0" w:line="219" w:lineRule="exact"/>
        <w:rPr>
          <w:rFonts w:ascii="Times New Roman" w:cs="Times New Roman" w:eastAsia="Times New Roman" w:hAnsi="Times New Roman"/>
          <w:sz w:val="22"/>
          <w:szCs w:val="22"/>
          <w:color w:val="auto"/>
        </w:rPr>
      </w:pPr>
    </w:p>
    <w:p>
      <w:pPr>
        <w:ind w:left="2180" w:hanging="385"/>
        <w:spacing w:after="0"/>
        <w:tabs>
          <w:tab w:leader="none" w:pos="21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line="219" w:lineRule="exact"/>
        <w:rPr>
          <w:rFonts w:ascii="Times New Roman" w:cs="Times New Roman" w:eastAsia="Times New Roman" w:hAnsi="Times New Roman"/>
          <w:sz w:val="22"/>
          <w:szCs w:val="22"/>
          <w:color w:val="auto"/>
        </w:rPr>
      </w:pPr>
    </w:p>
    <w:p>
      <w:pPr>
        <w:ind w:left="2160" w:hanging="365"/>
        <w:spacing w:after="0"/>
        <w:tabs>
          <w:tab w:leader="none" w:pos="21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4,239,554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0" w:hanging="1098"/>
        <w:spacing w:after="0"/>
        <w:tabs>
          <w:tab w:leader="none" w:pos="18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 Christopher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-151130</wp:posOffset>
            </wp:positionV>
            <wp:extent cx="5383530" cy="1591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3530" cy="1591310"/>
                    </a:xfrm>
                    <a:prstGeom prst="rect">
                      <a:avLst/>
                    </a:prstGeom>
                    <a:noFill/>
                  </pic:spPr>
                </pic:pic>
              </a:graphicData>
            </a:graphic>
          </wp:anchor>
        </w:drawing>
      </w:r>
    </w:p>
    <w:p>
      <w:pPr>
        <w:spacing w:after="0" w:line="200" w:lineRule="exact"/>
        <w:rPr>
          <w:sz w:val="20"/>
          <w:szCs w:val="20"/>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4,239,554</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16.00%</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to which the person has:</w:t>
      </w:r>
    </w:p>
    <w:p>
      <w:pPr>
        <w:spacing w:after="0" w:line="219" w:lineRule="exact"/>
        <w:rPr>
          <w:rFonts w:ascii="Times New Roman" w:cs="Times New Roman" w:eastAsia="Times New Roman" w:hAnsi="Times New Roman"/>
          <w:sz w:val="22"/>
          <w:szCs w:val="22"/>
          <w:color w:val="auto"/>
        </w:rPr>
      </w:pP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 0</w:t>
      </w:r>
    </w:p>
    <w:p>
      <w:pPr>
        <w:sectPr>
          <w:pgSz w:w="11900" w:h="16838" w:orient="portrait"/>
          <w:cols w:equalWidth="0" w:num="1">
            <w:col w:w="11020"/>
          </w:cols>
          <w:pgMar w:left="320" w:top="112" w:right="559" w:bottom="0" w:gutter="0" w:footer="0" w:header="0"/>
        </w:sectPr>
      </w:pPr>
    </w:p>
    <w:bookmarkStart w:id="5" w:name="page6"/>
    <w:bookmarkEnd w:id="5"/>
    <w:p>
      <w:pPr>
        <w:ind w:left="2120" w:hanging="325"/>
        <w:spacing w:after="0"/>
        <w:tabs>
          <w:tab w:leader="none" w:pos="21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4,239,554</w:t>
      </w:r>
    </w:p>
    <w:p>
      <w:pPr>
        <w:spacing w:after="0" w:line="220" w:lineRule="exact"/>
        <w:rPr>
          <w:rFonts w:ascii="Times New Roman" w:cs="Times New Roman" w:eastAsia="Times New Roman" w:hAnsi="Times New Roman"/>
          <w:sz w:val="22"/>
          <w:szCs w:val="22"/>
          <w:color w:val="auto"/>
        </w:rPr>
      </w:pPr>
    </w:p>
    <w:p>
      <w:pPr>
        <w:ind w:left="2180" w:hanging="385"/>
        <w:spacing w:after="0"/>
        <w:tabs>
          <w:tab w:leader="none" w:pos="21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line="219" w:lineRule="exact"/>
        <w:rPr>
          <w:rFonts w:ascii="Times New Roman" w:cs="Times New Roman" w:eastAsia="Times New Roman" w:hAnsi="Times New Roman"/>
          <w:sz w:val="22"/>
          <w:szCs w:val="22"/>
          <w:color w:val="auto"/>
        </w:rPr>
      </w:pPr>
    </w:p>
    <w:p>
      <w:pPr>
        <w:ind w:left="2160" w:hanging="365"/>
        <w:spacing w:after="0"/>
        <w:tabs>
          <w:tab w:leader="none" w:pos="2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4,239,554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-742950</wp:posOffset>
            </wp:positionV>
            <wp:extent cx="5383530" cy="900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353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Instruction</w:t>
      </w:r>
      <w:r>
        <w:rPr>
          <w:rFonts w:ascii="Times New Roman" w:cs="Times New Roman" w:eastAsia="Times New Roman" w:hAnsi="Times New Roman"/>
          <w:sz w:val="22"/>
          <w:szCs w:val="22"/>
          <w:color w:val="auto"/>
        </w:rPr>
        <w:t>: Dissolution of a group requires a response to this item.</w:t>
      </w:r>
    </w:p>
    <w:p>
      <w:pPr>
        <w:spacing w:after="0" w:line="1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Five Percent or Less of a Class</w:t>
      </w:r>
    </w:p>
    <w:p>
      <w:pPr>
        <w:spacing w:after="0" w:line="98" w:lineRule="exact"/>
        <w:rPr>
          <w:sz w:val="20"/>
          <w:szCs w:val="20"/>
          <w:color w:val="auto"/>
        </w:rPr>
      </w:pPr>
    </w:p>
    <w:p>
      <w:pPr>
        <w:ind w:right="660"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 Dissolution of a group requires a response to this item.</w:t>
      </w: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Five Percent on Behalf of Another Person. NOT APPLICABLE</w:t>
      </w:r>
    </w:p>
    <w:p>
      <w:pPr>
        <w:spacing w:after="0" w:line="206" w:lineRule="exact"/>
        <w:rPr>
          <w:sz w:val="20"/>
          <w:szCs w:val="20"/>
          <w:color w:val="auto"/>
        </w:rPr>
      </w:pPr>
    </w:p>
    <w:p>
      <w:pPr>
        <w:ind w:left="980" w:right="340" w:hanging="971"/>
        <w:spacing w:after="0" w:line="258" w:lineRule="auto"/>
        <w:tabs>
          <w:tab w:leader="none" w:pos="96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See Exhibit “1” Attached</w:t>
      </w:r>
    </w:p>
    <w:p>
      <w:pPr>
        <w:spacing w:after="0" w:line="158" w:lineRule="exact"/>
        <w:rPr>
          <w:sz w:val="20"/>
          <w:szCs w:val="20"/>
          <w:color w:val="auto"/>
        </w:rPr>
      </w:pPr>
    </w:p>
    <w:p>
      <w:pPr>
        <w:ind w:right="3180"/>
        <w:spacing w:after="0" w:line="519" w:lineRule="auto"/>
        <w:rPr>
          <w:sz w:val="20"/>
          <w:szCs w:val="20"/>
          <w:color w:val="auto"/>
        </w:rPr>
      </w:pPr>
      <w:r>
        <w:rPr>
          <w:rFonts w:ascii="Times New Roman" w:cs="Times New Roman" w:eastAsia="Times New Roman" w:hAnsi="Times New Roman"/>
          <w:sz w:val="22"/>
          <w:szCs w:val="22"/>
          <w:color w:val="auto"/>
        </w:rPr>
        <w:t>Item 8. Identification and Classification of Members of the Group: NOT APPLICABLE Item 9. Notice of Dissolution of Group: NOT APPLICABLE Item 10. Certification</w:t>
      </w:r>
    </w:p>
    <w:p>
      <w:pPr>
        <w:spacing w:after="0" w:line="296" w:lineRule="exact"/>
        <w:rPr>
          <w:sz w:val="20"/>
          <w:szCs w:val="20"/>
          <w:color w:val="auto"/>
        </w:rPr>
      </w:pPr>
    </w:p>
    <w:p>
      <w:pPr>
        <w:ind w:left="1800" w:hanging="1098"/>
        <w:spacing w:after="0"/>
        <w:tabs>
          <w:tab w:leader="none" w:pos="18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§240.13d-1(b);</w:t>
      </w:r>
    </w:p>
    <w:p>
      <w:pPr>
        <w:spacing w:after="0" w:line="219" w:lineRule="exact"/>
        <w:rPr>
          <w:rFonts w:ascii="Times New Roman" w:cs="Times New Roman" w:eastAsia="Times New Roman" w:hAnsi="Times New Roman"/>
          <w:sz w:val="22"/>
          <w:szCs w:val="22"/>
          <w:color w:val="auto"/>
        </w:rPr>
      </w:pPr>
    </w:p>
    <w:p>
      <w:pPr>
        <w:ind w:left="180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90"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§204.13d-1(c):</w:t>
      </w:r>
    </w:p>
    <w:p>
      <w:pPr>
        <w:spacing w:after="0" w:line="219" w:lineRule="exact"/>
        <w:rPr>
          <w:rFonts w:ascii="Times New Roman" w:cs="Times New Roman" w:eastAsia="Times New Roman" w:hAnsi="Times New Roman"/>
          <w:sz w:val="22"/>
          <w:szCs w:val="22"/>
          <w:color w:val="auto"/>
        </w:rPr>
      </w:pPr>
    </w:p>
    <w:p>
      <w:pPr>
        <w:ind w:left="1800" w:right="44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-2147570</wp:posOffset>
            </wp:positionV>
            <wp:extent cx="6755130" cy="2289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5130" cy="2289175"/>
                    </a:xfrm>
                    <a:prstGeom prst="rect">
                      <a:avLst/>
                    </a:prstGeom>
                    <a:noFill/>
                  </pic:spPr>
                </pic:pic>
              </a:graphicData>
            </a:graphic>
          </wp:anchor>
        </w:drawing>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1, 2023</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1, 2023</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1, 2023</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1120"/>
          </w:cols>
          <w:pgMar w:left="320" w:top="111" w:right="459" w:bottom="0" w:gutter="0" w:footer="0" w:header="0"/>
        </w:sectPr>
      </w:pPr>
    </w:p>
    <w:bookmarkStart w:id="6" w:name="page7"/>
    <w:bookmarkEnd w:id="6"/>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§240.13d-7 for other parties for whom copies are to be sent.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U.S.C. 1001)</w:t>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3920" w:type="dxa"/>
            <w:vAlign w:val="bottom"/>
            <w:tcBorders>
              <w:top w:val="single" w:sz="8" w:color="auto"/>
              <w:left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22"/>
                <w:szCs w:val="22"/>
                <w:color w:val="auto"/>
              </w:rPr>
              <w:t>IDENTITY</w:t>
            </w:r>
          </w:p>
        </w:tc>
        <w:tc>
          <w:tcPr>
            <w:tcW w:w="7320" w:type="dxa"/>
            <w:vAlign w:val="bottom"/>
            <w:tcBorders>
              <w:top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22"/>
                <w:szCs w:val="22"/>
                <w:color w:val="auto"/>
              </w:rPr>
              <w:t>CLASSIFICATION UNDER ITEM 3</w:t>
            </w:r>
          </w:p>
        </w:tc>
      </w:tr>
      <w:tr>
        <w:trPr>
          <w:trHeight w:val="177"/>
        </w:trPr>
        <w:tc>
          <w:tcPr>
            <w:tcW w:w="3920" w:type="dxa"/>
            <w:vAlign w:val="bottom"/>
            <w:tcBorders>
              <w:left w:val="single" w:sz="8" w:color="auto"/>
              <w:bottom w:val="single" w:sz="8" w:color="auto"/>
              <w:right w:val="single" w:sz="8" w:color="auto"/>
            </w:tcBorders>
          </w:tcPr>
          <w:p>
            <w:pPr>
              <w:spacing w:after="0"/>
              <w:rPr>
                <w:sz w:val="15"/>
                <w:szCs w:val="15"/>
                <w:color w:val="auto"/>
              </w:rPr>
            </w:pPr>
          </w:p>
        </w:tc>
        <w:tc>
          <w:tcPr>
            <w:tcW w:w="7320" w:type="dxa"/>
            <w:vAlign w:val="bottom"/>
            <w:tcBorders>
              <w:bottom w:val="single" w:sz="8" w:color="auto"/>
              <w:right w:val="single" w:sz="8" w:color="auto"/>
            </w:tcBorders>
          </w:tcPr>
          <w:p>
            <w:pPr>
              <w:spacing w:after="0"/>
              <w:rPr>
                <w:sz w:val="15"/>
                <w:szCs w:val="15"/>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Equity Funds</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Insurance Series</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Equity Management Company</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of Pennsylvania</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Global Investment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Management Corp.</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FII Holdings,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Voting Shares Irrevocable Trust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Thomas 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 Christopher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bl>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ARCTURUS THERAPEUTICS HOLDINGS,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06"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73" w:lineRule="exact"/>
        <w:rPr>
          <w:sz w:val="20"/>
          <w:szCs w:val="20"/>
          <w:color w:val="auto"/>
        </w:rPr>
      </w:pPr>
    </w:p>
    <w:p>
      <w:pPr>
        <w:ind w:right="220" w:firstLine="656"/>
        <w:spacing w:after="0" w:line="258" w:lineRule="auto"/>
        <w:tabs>
          <w:tab w:leader="none" w:pos="118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Federated Hermes, Inc. as parent holding company of the investment advisers to registered investment companies that beneficially own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R.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Christopher Donahue, individually and as Trustee</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 2023</w:t>
      </w:r>
    </w:p>
    <w:p>
      <w:pPr>
        <w:spacing w:after="0" w:line="213"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jc w:val="both"/>
        <w:ind w:firstLine="8"/>
        <w:spacing w:after="0" w:line="234" w:lineRule="auto"/>
        <w:tabs>
          <w:tab w:leader="none" w:pos="7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40"/>
          </w:cols>
          <w:pgMar w:left="320" w:top="67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1"/>
          <w:szCs w:val="2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172720</wp:posOffset>
            </wp:positionV>
            <wp:extent cx="5349240" cy="6900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0" w:num="1">
        <w:col w:w="9019"/>
      </w:cols>
      <w:pgMar w:left="1440" w:top="7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9"/>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9"/>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lvl w:ilvl="1">
      <w:lvlJc w:val="left"/>
      <w:lvlText w:val="%2."/>
      <w:numFmt w:val="decimal"/>
      <w:start w:val="7"/>
    </w:lvl>
  </w:abstractNum>
  <w:abstractNum w:abstractNumId="9">
    <w:nsid w:val="1BEFD79F"/>
    <w:multiLevelType w:val="hybridMultilevel"/>
    <w:lvl w:ilvl="0">
      <w:lvlJc w:val="left"/>
      <w:lvlText w:val="%1."/>
      <w:numFmt w:val="decimal"/>
      <w:start w:val="9"/>
    </w:lvl>
    <w:lvl w:ilvl="1">
      <w:lvlJc w:val="left"/>
      <w:lvlText w:val="%2"/>
      <w:numFmt w:val="decimal"/>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upperLetter"/>
      <w:start w:val="3"/>
    </w:lvl>
  </w:abstractNum>
  <w:abstractNum w:abstractNumId="13">
    <w:nsid w:val="25E45D32"/>
    <w:multiLevelType w:val="hybridMultilevel"/>
    <w:lvl w:ilvl="0">
      <w:lvlJc w:val="left"/>
      <w:lvlText w:val="(%1)"/>
      <w:numFmt w:val="lowerLetter"/>
      <w:start w:val="1"/>
    </w:lvl>
    <w:lvl w:ilvl="1">
      <w:lvlJc w:val="left"/>
      <w:lvlText w:val="(%2)"/>
      <w:numFmt w:val="lowerRoman"/>
      <w:start w:val="1"/>
    </w:lvl>
  </w:abstractNum>
  <w:abstractNum w:abstractNumId="14">
    <w:nsid w:val="519B500D"/>
    <w:multiLevelType w:val="hybridMultilevel"/>
    <w:lvl w:ilvl="0">
      <w:lvlJc w:val="left"/>
      <w:lvlText w:val="%1."/>
      <w:numFmt w:val="upperLetter"/>
      <w:start w:val="4"/>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Roman"/>
      <w:start w:val="2"/>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2023-02-01T09:12:31Z</dcterms:created>
  <dcterms:modified xsi:type="dcterms:W3CDTF">2023-02-01T09:12:31Z</dcterms:modified>
</cp:coreProperties>
</file>