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t>As filed with the Securities and Exchange Commission on July 14, 2014</w:t>
      </w:r>
    </w:p>
    <w:p>
      <w:pPr>
        <w:spacing w:after="0" w:line="248"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5" w:lineRule="exact"/>
        <w:rPr>
          <w:sz w:val="24"/>
          <w:szCs w:val="24"/>
          <w:color w:val="auto"/>
        </w:rPr>
      </w:pPr>
    </w:p>
    <w:p>
      <w:pPr>
        <w:ind w:left="5260"/>
        <w:spacing w:after="0"/>
        <w:rPr>
          <w:sz w:val="20"/>
          <w:szCs w:val="20"/>
          <w:color w:val="auto"/>
        </w:rPr>
      </w:pPr>
      <w:r>
        <w:rPr>
          <w:rFonts w:ascii="Arial" w:cs="Arial" w:eastAsia="Arial" w:hAnsi="Arial"/>
          <w:sz w:val="18"/>
          <w:szCs w:val="18"/>
          <w:b w:val="1"/>
          <w:bCs w:val="1"/>
          <w:color w:val="auto"/>
        </w:rPr>
        <w:t>FORM F-3</w:t>
      </w:r>
    </w:p>
    <w:p>
      <w:pPr>
        <w:spacing w:after="0" w:line="27" w:lineRule="exact"/>
        <w:rPr>
          <w:sz w:val="24"/>
          <w:szCs w:val="24"/>
          <w:color w:val="auto"/>
        </w:rPr>
      </w:pPr>
    </w:p>
    <w:p>
      <w:pPr>
        <w:ind w:left="4080"/>
        <w:spacing w:after="0"/>
        <w:rPr>
          <w:sz w:val="20"/>
          <w:szCs w:val="20"/>
          <w:color w:val="auto"/>
        </w:rPr>
      </w:pPr>
      <w:r>
        <w:rPr>
          <w:rFonts w:ascii="Arial" w:cs="Arial" w:eastAsia="Arial" w:hAnsi="Arial"/>
          <w:sz w:val="18"/>
          <w:szCs w:val="18"/>
          <w:b w:val="1"/>
          <w:bCs w:val="1"/>
          <w:color w:val="auto"/>
        </w:rPr>
        <w:t>REGISTRATION STATEMENT UNDER</w:t>
      </w:r>
    </w:p>
    <w:p>
      <w:pPr>
        <w:spacing w:after="0" w:line="9"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THE SECURITIES ACT OF 1933</w:t>
      </w:r>
    </w:p>
    <w:p>
      <w:pPr>
        <w:spacing w:after="0" w:line="198"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Alcobra Ltd.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688" w:right="239" w:bottom="0" w:gutter="0" w:footer="0" w:header="0"/>
        </w:sectPr>
      </w:pPr>
    </w:p>
    <w:p>
      <w:pPr>
        <w:spacing w:after="0" w:line="205" w:lineRule="exact"/>
        <w:rPr>
          <w:sz w:val="24"/>
          <w:szCs w:val="24"/>
          <w:color w:val="auto"/>
        </w:rPr>
      </w:pPr>
    </w:p>
    <w:p>
      <w:pPr>
        <w:jc w:val="center"/>
        <w:ind w:right="820"/>
        <w:spacing w:after="0"/>
        <w:rPr>
          <w:sz w:val="20"/>
          <w:szCs w:val="20"/>
          <w:color w:val="auto"/>
        </w:rPr>
      </w:pPr>
      <w:r>
        <w:rPr>
          <w:rFonts w:ascii="Arial" w:cs="Arial" w:eastAsia="Arial" w:hAnsi="Arial"/>
          <w:sz w:val="18"/>
          <w:szCs w:val="18"/>
          <w:b w:val="1"/>
          <w:bCs w:val="1"/>
          <w:color w:val="auto"/>
        </w:rPr>
        <w:t>Israel</w:t>
      </w:r>
    </w:p>
    <w:p>
      <w:pPr>
        <w:spacing w:after="0" w:line="27" w:lineRule="exact"/>
        <w:rPr>
          <w:sz w:val="24"/>
          <w:szCs w:val="24"/>
          <w:color w:val="auto"/>
        </w:rPr>
      </w:pPr>
    </w:p>
    <w:p>
      <w:pPr>
        <w:jc w:val="center"/>
        <w:ind w:right="82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540"/>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4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2">
            <w:col w:w="6540" w:space="720"/>
            <w:col w:w="4160"/>
          </w:cols>
          <w:pgMar w:left="240" w:top="688" w:right="239" w:bottom="0" w:gutter="0" w:footer="0" w:header="0"/>
          <w:type w:val="continuous"/>
        </w:sectPr>
      </w:pPr>
    </w:p>
    <w:p>
      <w:pPr>
        <w:ind w:left="1780"/>
        <w:spacing w:after="0"/>
        <w:rPr>
          <w:sz w:val="20"/>
          <w:szCs w:val="20"/>
          <w:color w:val="auto"/>
        </w:rPr>
      </w:pPr>
      <w:r>
        <w:rPr>
          <w:rFonts w:ascii="Arial" w:cs="Arial" w:eastAsia="Arial" w:hAnsi="Arial"/>
          <w:sz w:val="18"/>
          <w:szCs w:val="18"/>
          <w:color w:val="auto"/>
        </w:rPr>
        <w:t>incorporation or organization)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Amot Investment Building</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 Weizman St. 9th Floor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 Aviv 6423902, Israel</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+972-72-220-4661</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and Telephone Number of Registrant's Principal Executive Offices)</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Alcobra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600 West Germantown Pike, Suite 400, Plymouth Meeting, PA, 19462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 (610)-940-1631</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and Telephone Number of Agent for Service)</w:t>
      </w:r>
    </w:p>
    <w:p>
      <w:pPr>
        <w:spacing w:after="0" w:line="221" w:lineRule="exact"/>
        <w:rPr>
          <w:sz w:val="24"/>
          <w:szCs w:val="24"/>
          <w:color w:val="auto"/>
        </w:rPr>
      </w:pPr>
    </w:p>
    <w:tbl>
      <w:tblPr>
        <w:tblLayout w:type="fixed"/>
        <w:tblInd w:w="1120" w:type="dxa"/>
        <w:tblCellMar>
          <w:top w:w="0" w:type="dxa"/>
          <w:left w:w="0" w:type="dxa"/>
          <w:bottom w:w="0" w:type="dxa"/>
          <w:right w:w="0" w:type="dxa"/>
        </w:tblCellMar>
      </w:tblPr>
      <w:tr>
        <w:trPr>
          <w:trHeight w:val="220"/>
        </w:trPr>
        <w:tc>
          <w:tcPr>
            <w:tcW w:w="4140" w:type="dxa"/>
            <w:vAlign w:val="bottom"/>
          </w:tcPr>
          <w:p>
            <w:pPr>
              <w:spacing w:after="0"/>
              <w:rPr>
                <w:sz w:val="19"/>
                <w:szCs w:val="19"/>
                <w:color w:val="auto"/>
              </w:rPr>
            </w:pPr>
          </w:p>
        </w:tc>
        <w:tc>
          <w:tcPr>
            <w:tcW w:w="4740" w:type="dxa"/>
            <w:vAlign w:val="bottom"/>
          </w:tcPr>
          <w:p>
            <w:pPr>
              <w:ind w:left="60"/>
              <w:spacing w:after="0"/>
              <w:rPr>
                <w:sz w:val="20"/>
                <w:szCs w:val="20"/>
                <w:color w:val="auto"/>
              </w:rPr>
            </w:pPr>
            <w:r>
              <w:rPr>
                <w:rFonts w:ascii="Arial" w:cs="Arial" w:eastAsia="Arial" w:hAnsi="Arial"/>
                <w:sz w:val="18"/>
                <w:szCs w:val="18"/>
                <w:b w:val="1"/>
                <w:bCs w:val="1"/>
                <w:color w:val="auto"/>
              </w:rPr>
              <w:t>Copies to:</w:t>
            </w:r>
          </w:p>
        </w:tc>
      </w:tr>
      <w:tr>
        <w:trPr>
          <w:trHeight w:val="216"/>
        </w:trPr>
        <w:tc>
          <w:tcPr>
            <w:tcW w:w="4140" w:type="dxa"/>
            <w:vAlign w:val="bottom"/>
          </w:tcPr>
          <w:p>
            <w:pPr>
              <w:jc w:val="center"/>
              <w:spacing w:after="0"/>
              <w:rPr>
                <w:sz w:val="20"/>
                <w:szCs w:val="20"/>
                <w:color w:val="auto"/>
              </w:rPr>
            </w:pPr>
            <w:r>
              <w:rPr>
                <w:rFonts w:ascii="Arial" w:cs="Arial" w:eastAsia="Arial" w:hAnsi="Arial"/>
                <w:sz w:val="18"/>
                <w:szCs w:val="18"/>
                <w:color w:val="auto"/>
                <w:w w:val="89"/>
              </w:rPr>
              <w:t>Oded Har-Even, Esq.</w:t>
            </w:r>
          </w:p>
        </w:tc>
        <w:tc>
          <w:tcPr>
            <w:tcW w:w="4740" w:type="dxa"/>
            <w:vAlign w:val="bottom"/>
          </w:tcPr>
          <w:p>
            <w:pPr>
              <w:jc w:val="center"/>
              <w:ind w:left="2370"/>
              <w:spacing w:after="0"/>
              <w:rPr>
                <w:sz w:val="20"/>
                <w:szCs w:val="20"/>
                <w:color w:val="auto"/>
              </w:rPr>
            </w:pPr>
            <w:r>
              <w:rPr>
                <w:rFonts w:ascii="Arial" w:cs="Arial" w:eastAsia="Arial" w:hAnsi="Arial"/>
                <w:sz w:val="18"/>
                <w:szCs w:val="18"/>
                <w:color w:val="auto"/>
                <w:w w:val="92"/>
              </w:rPr>
              <w:t>Eran Ben-Dor, Adv.</w:t>
            </w:r>
          </w:p>
        </w:tc>
      </w:tr>
      <w:tr>
        <w:trPr>
          <w:trHeight w:val="216"/>
        </w:trPr>
        <w:tc>
          <w:tcPr>
            <w:tcW w:w="4140" w:type="dxa"/>
            <w:vAlign w:val="bottom"/>
          </w:tcPr>
          <w:p>
            <w:pPr>
              <w:jc w:val="center"/>
              <w:spacing w:after="0"/>
              <w:rPr>
                <w:sz w:val="20"/>
                <w:szCs w:val="20"/>
                <w:color w:val="auto"/>
              </w:rPr>
            </w:pPr>
            <w:r>
              <w:rPr>
                <w:rFonts w:ascii="Arial" w:cs="Arial" w:eastAsia="Arial" w:hAnsi="Arial"/>
                <w:sz w:val="18"/>
                <w:szCs w:val="18"/>
                <w:color w:val="auto"/>
                <w:w w:val="92"/>
              </w:rPr>
              <w:t>Howard E. Berkenblit, Esq.</w:t>
            </w:r>
          </w:p>
        </w:tc>
        <w:tc>
          <w:tcPr>
            <w:tcW w:w="4740" w:type="dxa"/>
            <w:vAlign w:val="bottom"/>
          </w:tcPr>
          <w:p>
            <w:pPr>
              <w:jc w:val="center"/>
              <w:ind w:left="2370"/>
              <w:spacing w:after="0"/>
              <w:rPr>
                <w:sz w:val="20"/>
                <w:szCs w:val="20"/>
                <w:color w:val="auto"/>
              </w:rPr>
            </w:pPr>
            <w:r>
              <w:rPr>
                <w:rFonts w:ascii="Arial" w:cs="Arial" w:eastAsia="Arial" w:hAnsi="Arial"/>
                <w:sz w:val="18"/>
                <w:szCs w:val="18"/>
                <w:color w:val="auto"/>
                <w:w w:val="93"/>
              </w:rPr>
              <w:t>Zysman, Aharoni, Gayer &amp; Co.</w:t>
            </w:r>
          </w:p>
        </w:tc>
      </w:tr>
      <w:tr>
        <w:trPr>
          <w:trHeight w:val="216"/>
        </w:trPr>
        <w:tc>
          <w:tcPr>
            <w:tcW w:w="4140" w:type="dxa"/>
            <w:vAlign w:val="bottom"/>
          </w:tcPr>
          <w:p>
            <w:pPr>
              <w:jc w:val="center"/>
              <w:ind w:right="10"/>
              <w:spacing w:after="0"/>
              <w:rPr>
                <w:sz w:val="20"/>
                <w:szCs w:val="20"/>
                <w:color w:val="auto"/>
              </w:rPr>
            </w:pPr>
            <w:r>
              <w:rPr>
                <w:rFonts w:ascii="Arial" w:cs="Arial" w:eastAsia="Arial" w:hAnsi="Arial"/>
                <w:sz w:val="18"/>
                <w:szCs w:val="18"/>
                <w:color w:val="auto"/>
                <w:w w:val="88"/>
              </w:rPr>
              <w:t>Shy S. Baranov, Esq.</w:t>
            </w:r>
          </w:p>
        </w:tc>
        <w:tc>
          <w:tcPr>
            <w:tcW w:w="4740" w:type="dxa"/>
            <w:vAlign w:val="bottom"/>
          </w:tcPr>
          <w:p>
            <w:pPr>
              <w:jc w:val="center"/>
              <w:ind w:left="2370"/>
              <w:spacing w:after="0"/>
              <w:rPr>
                <w:sz w:val="20"/>
                <w:szCs w:val="20"/>
                <w:color w:val="auto"/>
              </w:rPr>
            </w:pPr>
            <w:r>
              <w:rPr>
                <w:rFonts w:ascii="Arial" w:cs="Arial" w:eastAsia="Arial" w:hAnsi="Arial"/>
                <w:sz w:val="18"/>
                <w:szCs w:val="18"/>
                <w:color w:val="auto"/>
                <w:w w:val="93"/>
              </w:rPr>
              <w:t>41-45 Rothschild Blvd.</w:t>
            </w:r>
          </w:p>
        </w:tc>
      </w:tr>
      <w:tr>
        <w:trPr>
          <w:trHeight w:val="216"/>
        </w:trPr>
        <w:tc>
          <w:tcPr>
            <w:tcW w:w="4140" w:type="dxa"/>
            <w:vAlign w:val="bottom"/>
          </w:tcPr>
          <w:p>
            <w:pPr>
              <w:jc w:val="center"/>
              <w:spacing w:after="0"/>
              <w:rPr>
                <w:sz w:val="20"/>
                <w:szCs w:val="20"/>
                <w:color w:val="auto"/>
              </w:rPr>
            </w:pPr>
            <w:r>
              <w:rPr>
                <w:rFonts w:ascii="Arial" w:cs="Arial" w:eastAsia="Arial" w:hAnsi="Arial"/>
                <w:sz w:val="18"/>
                <w:szCs w:val="18"/>
                <w:color w:val="auto"/>
                <w:w w:val="92"/>
              </w:rPr>
              <w:t>Zysman, Aharoni, Gayer and Sullivan &amp; Worcester LLP</w:t>
            </w:r>
          </w:p>
        </w:tc>
        <w:tc>
          <w:tcPr>
            <w:tcW w:w="4740" w:type="dxa"/>
            <w:vAlign w:val="bottom"/>
          </w:tcPr>
          <w:p>
            <w:pPr>
              <w:jc w:val="center"/>
              <w:ind w:left="2370"/>
              <w:spacing w:after="0"/>
              <w:rPr>
                <w:sz w:val="20"/>
                <w:szCs w:val="20"/>
                <w:color w:val="auto"/>
              </w:rPr>
            </w:pPr>
            <w:r>
              <w:rPr>
                <w:rFonts w:ascii="Arial" w:cs="Arial" w:eastAsia="Arial" w:hAnsi="Arial"/>
                <w:sz w:val="18"/>
                <w:szCs w:val="18"/>
                <w:color w:val="auto"/>
                <w:w w:val="95"/>
              </w:rPr>
              <w:t>Beit Zion</w:t>
            </w:r>
          </w:p>
        </w:tc>
      </w:tr>
      <w:tr>
        <w:trPr>
          <w:trHeight w:val="216"/>
        </w:trPr>
        <w:tc>
          <w:tcPr>
            <w:tcW w:w="4140" w:type="dxa"/>
            <w:vAlign w:val="bottom"/>
          </w:tcPr>
          <w:p>
            <w:pPr>
              <w:jc w:val="center"/>
              <w:spacing w:after="0"/>
              <w:rPr>
                <w:sz w:val="20"/>
                <w:szCs w:val="20"/>
                <w:color w:val="auto"/>
              </w:rPr>
            </w:pPr>
            <w:r>
              <w:rPr>
                <w:rFonts w:ascii="Arial" w:cs="Arial" w:eastAsia="Arial" w:hAnsi="Arial"/>
                <w:sz w:val="18"/>
                <w:szCs w:val="18"/>
                <w:color w:val="auto"/>
                <w:w w:val="91"/>
              </w:rPr>
              <w:t>1633 Broadway</w:t>
            </w:r>
          </w:p>
        </w:tc>
        <w:tc>
          <w:tcPr>
            <w:tcW w:w="4740" w:type="dxa"/>
            <w:vAlign w:val="bottom"/>
          </w:tcPr>
          <w:p>
            <w:pPr>
              <w:jc w:val="center"/>
              <w:ind w:left="2370"/>
              <w:spacing w:after="0"/>
              <w:rPr>
                <w:sz w:val="20"/>
                <w:szCs w:val="20"/>
                <w:color w:val="auto"/>
              </w:rPr>
            </w:pPr>
            <w:r>
              <w:rPr>
                <w:rFonts w:ascii="Arial" w:cs="Arial" w:eastAsia="Arial" w:hAnsi="Arial"/>
                <w:sz w:val="18"/>
                <w:szCs w:val="18"/>
                <w:color w:val="auto"/>
                <w:w w:val="92"/>
              </w:rPr>
              <w:t>Tel Aviv 65784, Israel</w:t>
            </w:r>
          </w:p>
        </w:tc>
      </w:tr>
      <w:tr>
        <w:trPr>
          <w:trHeight w:val="216"/>
        </w:trPr>
        <w:tc>
          <w:tcPr>
            <w:tcW w:w="4140" w:type="dxa"/>
            <w:vAlign w:val="bottom"/>
          </w:tcPr>
          <w:p>
            <w:pPr>
              <w:jc w:val="center"/>
              <w:spacing w:after="0"/>
              <w:rPr>
                <w:sz w:val="20"/>
                <w:szCs w:val="20"/>
                <w:color w:val="auto"/>
              </w:rPr>
            </w:pPr>
            <w:r>
              <w:rPr>
                <w:rFonts w:ascii="Arial" w:cs="Arial" w:eastAsia="Arial" w:hAnsi="Arial"/>
                <w:sz w:val="18"/>
                <w:szCs w:val="18"/>
                <w:color w:val="auto"/>
                <w:w w:val="93"/>
              </w:rPr>
              <w:t>New York, NY 10019</w:t>
            </w:r>
          </w:p>
        </w:tc>
        <w:tc>
          <w:tcPr>
            <w:tcW w:w="4740" w:type="dxa"/>
            <w:vAlign w:val="bottom"/>
          </w:tcPr>
          <w:p>
            <w:pPr>
              <w:jc w:val="center"/>
              <w:ind w:left="2350"/>
              <w:spacing w:after="0"/>
              <w:rPr>
                <w:sz w:val="20"/>
                <w:szCs w:val="20"/>
                <w:color w:val="auto"/>
              </w:rPr>
            </w:pPr>
            <w:r>
              <w:rPr>
                <w:rFonts w:ascii="Arial" w:cs="Arial" w:eastAsia="Arial" w:hAnsi="Arial"/>
                <w:sz w:val="18"/>
                <w:szCs w:val="18"/>
                <w:color w:val="auto"/>
                <w:w w:val="91"/>
              </w:rPr>
              <w:t>Tel: +972-3-7955555</w:t>
            </w:r>
          </w:p>
        </w:tc>
      </w:tr>
      <w:tr>
        <w:trPr>
          <w:trHeight w:val="230"/>
        </w:trPr>
        <w:tc>
          <w:tcPr>
            <w:tcW w:w="4140" w:type="dxa"/>
            <w:vAlign w:val="bottom"/>
          </w:tcPr>
          <w:p>
            <w:pPr>
              <w:jc w:val="center"/>
              <w:spacing w:after="0"/>
              <w:rPr>
                <w:sz w:val="20"/>
                <w:szCs w:val="20"/>
                <w:color w:val="auto"/>
              </w:rPr>
            </w:pPr>
            <w:r>
              <w:rPr>
                <w:rFonts w:ascii="Arial" w:cs="Arial" w:eastAsia="Arial" w:hAnsi="Arial"/>
                <w:sz w:val="18"/>
                <w:szCs w:val="18"/>
                <w:color w:val="auto"/>
                <w:w w:val="91"/>
              </w:rPr>
              <w:t>(212)-660-3000</w:t>
            </w:r>
          </w:p>
        </w:tc>
        <w:tc>
          <w:tcPr>
            <w:tcW w:w="4740" w:type="dxa"/>
            <w:vAlign w:val="bottom"/>
          </w:tcPr>
          <w:p>
            <w:pPr>
              <w:spacing w:after="0"/>
              <w:rPr>
                <w:sz w:val="20"/>
                <w:szCs w:val="20"/>
                <w:color w:val="auto"/>
              </w:rPr>
            </w:pPr>
          </w:p>
        </w:tc>
      </w:tr>
    </w:tbl>
    <w:p>
      <w:pPr>
        <w:spacing w:after="0" w:line="202" w:lineRule="exact"/>
        <w:rPr>
          <w:sz w:val="24"/>
          <w:szCs w:val="24"/>
          <w:color w:val="auto"/>
        </w:rPr>
      </w:pPr>
    </w:p>
    <w:p>
      <w:pPr>
        <w:ind w:left="660"/>
        <w:spacing w:after="0"/>
        <w:rPr>
          <w:sz w:val="20"/>
          <w:szCs w:val="20"/>
          <w:color w:val="auto"/>
        </w:rPr>
      </w:pPr>
      <w:r>
        <w:rPr>
          <w:rFonts w:ascii="Arial" w:cs="Arial" w:eastAsia="Arial" w:hAnsi="Arial"/>
          <w:sz w:val="17"/>
          <w:szCs w:val="17"/>
          <w:color w:val="auto"/>
        </w:rPr>
        <w:t>Approximate date of commencement of proposed sale to the public: From time to time after the effective date of this Registration Statement.</w:t>
      </w:r>
    </w:p>
    <w:p>
      <w:pPr>
        <w:spacing w:after="0" w:line="237" w:lineRule="exact"/>
        <w:rPr>
          <w:sz w:val="24"/>
          <w:szCs w:val="24"/>
          <w:color w:val="auto"/>
        </w:rPr>
      </w:pPr>
    </w:p>
    <w:p>
      <w:pPr>
        <w:ind w:left="660"/>
        <w:spacing w:after="0"/>
        <w:rPr>
          <w:sz w:val="20"/>
          <w:szCs w:val="20"/>
          <w:color w:val="auto"/>
        </w:rPr>
      </w:pPr>
      <w:r>
        <w:rPr>
          <w:rFonts w:ascii="Arial" w:cs="Arial" w:eastAsia="Arial" w:hAnsi="Arial"/>
          <w:sz w:val="16"/>
          <w:szCs w:val="16"/>
          <w:color w:val="auto"/>
        </w:rPr>
        <w:t>If the only securities being registered on this Form are being offered pursuant to dividend or interest reinvestment plans, please check the following</w:t>
      </w:r>
    </w:p>
    <w:p>
      <w:pPr>
        <w:spacing w:after="0" w:line="4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box.</w:t>
      </w:r>
      <w:r>
        <w:rPr>
          <w:rFonts w:ascii="MS PGothic" w:cs="MS PGothic" w:eastAsia="MS PGothic" w:hAnsi="MS PGothic"/>
          <w:sz w:val="18"/>
          <w:szCs w:val="18"/>
          <w:color w:val="auto"/>
        </w:rPr>
        <w:t>☐</w:t>
      </w:r>
    </w:p>
    <w:p>
      <w:pPr>
        <w:spacing w:after="0" w:line="216" w:lineRule="exact"/>
        <w:rPr>
          <w:sz w:val="24"/>
          <w:szCs w:val="24"/>
          <w:color w:val="auto"/>
        </w:rPr>
      </w:pPr>
    </w:p>
    <w:p>
      <w:pPr>
        <w:ind w:right="40" w:firstLine="648"/>
        <w:spacing w:after="0" w:line="233"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ind w:right="140" w:firstLine="648"/>
        <w:spacing w:after="0" w:line="233"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4"/>
          <w:szCs w:val="24"/>
          <w:color w:val="auto"/>
        </w:rPr>
      </w:pPr>
    </w:p>
    <w:p>
      <w:pPr>
        <w:ind w:right="60" w:firstLine="648"/>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4"/>
          <w:szCs w:val="24"/>
          <w:color w:val="auto"/>
        </w:rPr>
      </w:pPr>
    </w:p>
    <w:p>
      <w:pPr>
        <w:ind w:right="240" w:firstLine="648"/>
        <w:spacing w:after="0" w:line="233" w:lineRule="exact"/>
        <w:rPr>
          <w:sz w:val="20"/>
          <w:szCs w:val="20"/>
          <w:color w:val="auto"/>
        </w:rPr>
      </w:pPr>
      <w:r>
        <w:rPr>
          <w:rFonts w:ascii="Arial" w:cs="Arial" w:eastAsia="Arial" w:hAnsi="Arial"/>
          <w:sz w:val="18"/>
          <w:szCs w:val="18"/>
          <w:color w:val="auto"/>
        </w:rPr>
        <w:t xml:space="preserve">If this Form is a registration statement pursuant to General Instruction I.C.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ind w:right="180" w:firstLine="648"/>
        <w:spacing w:after="0" w:line="233"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I.C.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8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Pr>
          <w:p>
            <w:pPr>
              <w:spacing w:after="0"/>
              <w:rPr>
                <w:sz w:val="20"/>
                <w:szCs w:val="20"/>
                <w:color w:val="auto"/>
              </w:rPr>
            </w:pPr>
          </w:p>
        </w:tc>
        <w:tc>
          <w:tcPr>
            <w:tcW w:w="4540" w:type="dxa"/>
            <w:vAlign w:val="bottom"/>
            <w:gridSpan w:val="7"/>
          </w:tcPr>
          <w:p>
            <w:pPr>
              <w:jc w:val="right"/>
              <w:ind w:right="870"/>
              <w:spacing w:after="0"/>
              <w:rPr>
                <w:sz w:val="20"/>
                <w:szCs w:val="20"/>
                <w:color w:val="auto"/>
              </w:rPr>
            </w:pPr>
            <w:r>
              <w:rPr>
                <w:rFonts w:ascii="Arial" w:cs="Arial" w:eastAsia="Arial" w:hAnsi="Arial"/>
                <w:sz w:val="18"/>
                <w:szCs w:val="18"/>
                <w:color w:val="auto"/>
              </w:rPr>
              <w:t>CALCULATION OF REGISTRATION FEE</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3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6"/>
              </w:rPr>
              <w:t>Proposed</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60" w:type="dxa"/>
            <w:vAlign w:val="bottom"/>
            <w:gridSpan w:val="2"/>
          </w:tcPr>
          <w:p>
            <w:pPr>
              <w:jc w:val="center"/>
              <w:ind w:right="190"/>
              <w:spacing w:after="0"/>
              <w:rPr>
                <w:sz w:val="20"/>
                <w:szCs w:val="20"/>
                <w:color w:val="auto"/>
              </w:rPr>
            </w:pPr>
            <w:r>
              <w:rPr>
                <w:rFonts w:ascii="Arial" w:cs="Arial" w:eastAsia="Arial" w:hAnsi="Arial"/>
                <w:sz w:val="18"/>
                <w:szCs w:val="18"/>
                <w:b w:val="1"/>
                <w:bCs w:val="1"/>
                <w:color w:val="auto"/>
                <w:w w:val="86"/>
              </w:rPr>
              <w:t>Proposed</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6"/>
              </w:rPr>
              <w:t>Maximum</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60" w:type="dxa"/>
            <w:vAlign w:val="bottom"/>
          </w:tcPr>
          <w:p>
            <w:pPr>
              <w:jc w:val="center"/>
              <w:ind w:left="1030"/>
              <w:spacing w:after="0"/>
              <w:rPr>
                <w:sz w:val="20"/>
                <w:szCs w:val="20"/>
                <w:color w:val="auto"/>
              </w:rPr>
            </w:pPr>
            <w:r>
              <w:rPr>
                <w:rFonts w:ascii="Arial" w:cs="Arial" w:eastAsia="Arial" w:hAnsi="Arial"/>
                <w:sz w:val="18"/>
                <w:szCs w:val="18"/>
                <w:b w:val="1"/>
                <w:bCs w:val="1"/>
                <w:color w:val="auto"/>
                <w:w w:val="88"/>
              </w:rPr>
              <w:t>Title of each class of</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ind w:left="60"/>
              <w:spacing w:after="0"/>
              <w:rPr>
                <w:sz w:val="20"/>
                <w:szCs w:val="20"/>
                <w:color w:val="auto"/>
              </w:rPr>
            </w:pPr>
            <w:r>
              <w:rPr>
                <w:rFonts w:ascii="Arial" w:cs="Arial" w:eastAsia="Arial" w:hAnsi="Arial"/>
                <w:sz w:val="18"/>
                <w:szCs w:val="18"/>
                <w:b w:val="1"/>
                <w:bCs w:val="1"/>
                <w:color w:val="auto"/>
              </w:rPr>
              <w:t>Amount To Be</w:t>
            </w:r>
          </w:p>
        </w:tc>
        <w:tc>
          <w:tcPr>
            <w:tcW w:w="1820" w:type="dxa"/>
            <w:vAlign w:val="bottom"/>
            <w:gridSpan w:val="3"/>
          </w:tcPr>
          <w:p>
            <w:pPr>
              <w:jc w:val="center"/>
              <w:ind w:right="110"/>
              <w:spacing w:after="0"/>
              <w:rPr>
                <w:sz w:val="20"/>
                <w:szCs w:val="20"/>
                <w:color w:val="auto"/>
              </w:rPr>
            </w:pPr>
            <w:r>
              <w:rPr>
                <w:rFonts w:ascii="Arial" w:cs="Arial" w:eastAsia="Arial" w:hAnsi="Arial"/>
                <w:sz w:val="18"/>
                <w:szCs w:val="18"/>
                <w:b w:val="1"/>
                <w:bCs w:val="1"/>
                <w:color w:val="auto"/>
                <w:w w:val="94"/>
              </w:rPr>
              <w:t>Maximum Offering</w:t>
            </w:r>
          </w:p>
        </w:tc>
        <w:tc>
          <w:tcPr>
            <w:tcW w:w="176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90"/>
              </w:rPr>
              <w:t>Aggregate Offering</w:t>
            </w:r>
          </w:p>
        </w:tc>
        <w:tc>
          <w:tcPr>
            <w:tcW w:w="140" w:type="dxa"/>
            <w:vAlign w:val="bottom"/>
          </w:tcPr>
          <w:p>
            <w:pPr>
              <w:spacing w:after="0"/>
              <w:rPr>
                <w:sz w:val="18"/>
                <w:szCs w:val="18"/>
                <w:color w:val="auto"/>
              </w:rPr>
            </w:pPr>
          </w:p>
        </w:tc>
        <w:tc>
          <w:tcPr>
            <w:tcW w:w="122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 of</w:t>
            </w:r>
          </w:p>
        </w:tc>
      </w:tr>
      <w:tr>
        <w:trPr>
          <w:trHeight w:val="234"/>
        </w:trPr>
        <w:tc>
          <w:tcPr>
            <w:tcW w:w="3760" w:type="dxa"/>
            <w:vAlign w:val="bottom"/>
          </w:tcPr>
          <w:p>
            <w:pPr>
              <w:jc w:val="center"/>
              <w:ind w:left="1030"/>
              <w:spacing w:after="0"/>
              <w:rPr>
                <w:sz w:val="20"/>
                <w:szCs w:val="20"/>
                <w:color w:val="auto"/>
              </w:rPr>
            </w:pPr>
            <w:r>
              <w:rPr>
                <w:rFonts w:ascii="Arial" w:cs="Arial" w:eastAsia="Arial" w:hAnsi="Arial"/>
                <w:sz w:val="18"/>
                <w:szCs w:val="18"/>
                <w:b w:val="1"/>
                <w:bCs w:val="1"/>
                <w:color w:val="auto"/>
                <w:w w:val="87"/>
              </w:rPr>
              <w:t>securities to be registered</w:t>
            </w: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Registered (1)</w:t>
            </w:r>
          </w:p>
        </w:tc>
        <w:tc>
          <w:tcPr>
            <w:tcW w:w="60" w:type="dxa"/>
            <w:vAlign w:val="bottom"/>
          </w:tcPr>
          <w:p>
            <w:pPr>
              <w:spacing w:after="0"/>
              <w:rPr>
                <w:sz w:val="20"/>
                <w:szCs w:val="20"/>
                <w:color w:val="auto"/>
              </w:rPr>
            </w:pPr>
          </w:p>
        </w:tc>
        <w:tc>
          <w:tcPr>
            <w:tcW w:w="1760" w:type="dxa"/>
            <w:vAlign w:val="bottom"/>
            <w:gridSpan w:val="2"/>
          </w:tcPr>
          <w:p>
            <w:pPr>
              <w:jc w:val="center"/>
              <w:ind w:right="190"/>
              <w:spacing w:after="0"/>
              <w:rPr>
                <w:sz w:val="20"/>
                <w:szCs w:val="20"/>
                <w:color w:val="auto"/>
              </w:rPr>
            </w:pPr>
            <w:r>
              <w:rPr>
                <w:rFonts w:ascii="Arial" w:cs="Arial" w:eastAsia="Arial" w:hAnsi="Arial"/>
                <w:sz w:val="18"/>
                <w:szCs w:val="18"/>
                <w:b w:val="1"/>
                <w:bCs w:val="1"/>
                <w:color w:val="auto"/>
                <w:w w:val="93"/>
              </w:rPr>
              <w:t>Price Per Unit (1)</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2"/>
              </w:rPr>
              <w:t>Price (2)</w:t>
            </w:r>
          </w:p>
        </w:tc>
        <w:tc>
          <w:tcPr>
            <w:tcW w:w="1360" w:type="dxa"/>
            <w:vAlign w:val="bottom"/>
            <w:gridSpan w:val="3"/>
          </w:tcPr>
          <w:p>
            <w:pPr>
              <w:spacing w:after="0"/>
              <w:rPr>
                <w:sz w:val="20"/>
                <w:szCs w:val="20"/>
                <w:color w:val="auto"/>
              </w:rPr>
            </w:pPr>
            <w:r>
              <w:rPr>
                <w:rFonts w:ascii="Arial" w:cs="Arial" w:eastAsia="Arial" w:hAnsi="Arial"/>
                <w:sz w:val="18"/>
                <w:szCs w:val="18"/>
                <w:b w:val="1"/>
                <w:bCs w:val="1"/>
                <w:color w:val="auto"/>
                <w:w w:val="94"/>
              </w:rPr>
              <w:t>Registration Fee</w:t>
            </w:r>
          </w:p>
        </w:tc>
      </w:tr>
      <w:tr>
        <w:trPr>
          <w:trHeight w:val="210"/>
        </w:trPr>
        <w:tc>
          <w:tcPr>
            <w:tcW w:w="3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Ordinary Shares, $0.01 par value</w:t>
            </w: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(3)</w:t>
            </w:r>
          </w:p>
        </w:tc>
        <w:tc>
          <w:tcPr>
            <w:tcW w:w="6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1"/>
              </w:rPr>
              <w:t>(3)</w:t>
            </w: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100,000,000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12,880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4"/>
          <w:szCs w:val="24"/>
          <w:color w:val="auto"/>
        </w:rPr>
      </w:pPr>
    </w:p>
    <w:p>
      <w:pPr>
        <w:jc w:val="both"/>
        <w:ind w:left="340" w:right="140" w:hanging="332"/>
        <w:spacing w:after="0" w:line="342" w:lineRule="auto"/>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There are being registered under this registration statement such indeterminate number of ordinary shares, as may be sold by the registrant from time to time, which collectively shall have an aggregate initial offering price not to exceed $100,000,000. In addition, pursuant to Rule 416 under the Securities</w:t>
      </w:r>
    </w:p>
    <w:p>
      <w:pPr>
        <w:sectPr>
          <w:pgSz w:w="11900" w:h="16838" w:orient="portrait"/>
          <w:cols w:equalWidth="0" w:num="1">
            <w:col w:w="11420"/>
          </w:cols>
          <w:pgMar w:left="240" w:top="688" w:right="239" w:bottom="0" w:gutter="0" w:footer="0" w:header="0"/>
          <w:type w:val="continuous"/>
        </w:sectPr>
      </w:pPr>
    </w:p>
    <w:bookmarkStart w:id="1" w:name="page2"/>
    <w:bookmarkEnd w:id="1"/>
    <w:p>
      <w:pPr>
        <w:ind w:left="340" w:right="100"/>
        <w:spacing w:after="0" w:line="342" w:lineRule="auto"/>
        <w:rPr>
          <w:sz w:val="20"/>
          <w:szCs w:val="20"/>
          <w:color w:val="auto"/>
        </w:rPr>
      </w:pPr>
      <w:r>
        <w:rPr>
          <w:rFonts w:ascii="Arial" w:cs="Arial" w:eastAsia="Arial" w:hAnsi="Arial"/>
          <w:sz w:val="16"/>
          <w:szCs w:val="16"/>
          <w:color w:val="auto"/>
        </w:rPr>
        <w:t>Act of 1933, as amended, or the Securities Act, the ordinary shares being registered hereunder include such indeterminate number of ordinary shares as may be issuable with respect to the shares being registered hereunder as a result of stock splits, stock dividends or similar transactions.</w:t>
      </w:r>
    </w:p>
    <w:p>
      <w:pPr>
        <w:spacing w:after="0" w:line="124"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in accordance with Rule 457(o) under the Securities Act.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Omitted pursuant to Rule 457(o) under the Securities Act.</w:t>
      </w:r>
    </w:p>
    <w:p>
      <w:pPr>
        <w:spacing w:after="0" w:line="2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this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2" w:name="page3"/>
    <w:bookmarkEnd w:id="2"/>
    <w:p>
      <w:pPr>
        <w:ind w:right="80"/>
        <w:spacing w:after="0" w:line="264" w:lineRule="auto"/>
        <w:rPr>
          <w:sz w:val="20"/>
          <w:szCs w:val="20"/>
          <w:color w:val="auto"/>
        </w:rPr>
      </w:pPr>
      <w:r>
        <w:rPr>
          <w:rFonts w:ascii="Arial" w:cs="Arial" w:eastAsia="Arial" w:hAnsi="Arial"/>
          <w:sz w:val="18"/>
          <w:szCs w:val="18"/>
          <w:color w:val="FF0000"/>
        </w:rPr>
        <w:t>The information in this prospectus is not complete and may be changed. We may not sell these securities until the registration statement filed with the Securities and Exchange Commission is effective. This prospectus is not an offer to sell securities and it is not soliciting an offer to buy securities in any state where the offer or sale is not permitted.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FF0000"/>
        </w:rPr>
        <w:t>Subject to Completion, Dated July 14, 2014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Prospectus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2783840</wp:posOffset>
            </wp:positionH>
            <wp:positionV relativeFrom="paragraph">
              <wp:posOffset>152400</wp:posOffset>
            </wp:positionV>
            <wp:extent cx="1689735" cy="531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8973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Ordinary Shares</w:t>
      </w:r>
    </w:p>
    <w:p>
      <w:pPr>
        <w:spacing w:after="0" w:line="229"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We may offer and sell from time to time in one or more offerings up to a total amount of $100,000,000 of our ordinary shares. Each time we sell ordinary shares pursuant to this prospectus, we will provide in a supplement to this prospectus the price and any other material terms of any such offering. We may also authorize one or more free writing prospectuses to be provided to you in connection with each offering. Any prospectus supplement and related free writing prospectuses may also add, update or change information contained in the prospectus. You should read this prospectus, any applicable prospectus supplement and related free writing prospectuses, as well as the documents incorporated by reference or deemed incorporated by reference into this prospectus, carefully before you invest in our ordinary shares.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ordinary shares are traded on the NASDAQ Global Market under the symbol “ADHD”.</w:t>
      </w:r>
    </w:p>
    <w:p>
      <w:pPr>
        <w:spacing w:after="0" w:line="221"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b w:val="1"/>
          <w:bCs w:val="1"/>
          <w:color w:val="auto"/>
        </w:rPr>
        <w:t>Investing in our ordinary shares involves a high degree of risk. Risks associated with an investment in our ordinary shares will be described in any applicable prospectus supplement and are and will be described in certain of our filings with the Securities and Exchange Commission, as described in “Risk Factors” on page 3.</w:t>
      </w:r>
    </w:p>
    <w:p>
      <w:pPr>
        <w:spacing w:after="0" w:line="180"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The ordinary shares may be sold directly by us to investors, through agents designated from time to time or to or through underwriters or dealers, or through a combination of such methods, on a continuous or delayed basis. For additional information on the methods of sale, you should refer to the section entitled “Plan of Distribution” in this prospectus. If any agents or underwriters are involved in the sale of our ordinary shares with respect to which this prospectus is being delivered, the names of such agents or underwriters and any applicable fees, commissions, discounts and over-allotment options will be set forth in a prospectus supplement. The price to the public of our ordinary shares and the net proceeds that we expect to receive from such sale will also be set forth in a prospectus supplement.</w:t>
      </w:r>
    </w:p>
    <w:p>
      <w:pPr>
        <w:spacing w:after="0" w:line="189" w:lineRule="exact"/>
        <w:rPr>
          <w:sz w:val="20"/>
          <w:szCs w:val="20"/>
          <w:color w:val="auto"/>
        </w:rPr>
      </w:pPr>
    </w:p>
    <w:p>
      <w:pPr>
        <w:ind w:right="340" w:firstLine="648"/>
        <w:spacing w:after="0" w:line="347"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passed on completeness or the adequacy or accuracy of this prospectus. Any representation to the contrary is a criminal offense.</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tcPr>
          <w:p>
            <w:pPr>
              <w:ind w:left="3780"/>
              <w:spacing w:after="0"/>
              <w:rPr>
                <w:sz w:val="20"/>
                <w:szCs w:val="20"/>
                <w:color w:val="auto"/>
              </w:rPr>
            </w:pPr>
            <w:r>
              <w:rPr>
                <w:rFonts w:ascii="Arial" w:cs="Arial" w:eastAsia="Arial" w:hAnsi="Arial"/>
                <w:sz w:val="18"/>
                <w:szCs w:val="18"/>
                <w:color w:val="auto"/>
              </w:rPr>
              <w:t>The date of this prospectus is</w:t>
            </w:r>
          </w:p>
        </w:tc>
        <w:tc>
          <w:tcPr>
            <w:tcW w:w="4880" w:type="dxa"/>
            <w:vAlign w:val="bottom"/>
          </w:tcPr>
          <w:p>
            <w:pPr>
              <w:jc w:val="right"/>
              <w:ind w:right="3690"/>
              <w:spacing w:after="0"/>
              <w:rPr>
                <w:sz w:val="20"/>
                <w:szCs w:val="20"/>
                <w:color w:val="auto"/>
              </w:rPr>
            </w:pPr>
            <w:r>
              <w:rPr>
                <w:rFonts w:ascii="Arial" w:cs="Arial" w:eastAsia="Arial" w:hAnsi="Arial"/>
                <w:sz w:val="18"/>
                <w:szCs w:val="18"/>
                <w:color w:val="auto"/>
              </w:rPr>
              <w:t>, 2014</w:t>
            </w:r>
          </w:p>
        </w:tc>
      </w:tr>
      <w:tr>
        <w:trPr>
          <w:trHeight w:val="648"/>
        </w:trPr>
        <w:tc>
          <w:tcPr>
            <w:tcW w:w="654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81"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500" w:type="dxa"/>
            <w:vAlign w:val="bottom"/>
            <w:gridSpan w:val="2"/>
          </w:tcPr>
          <w:p>
            <w:pPr>
              <w:jc w:val="center"/>
              <w:ind w:right="1220"/>
              <w:spacing w:after="0"/>
              <w:rPr>
                <w:sz w:val="20"/>
                <w:szCs w:val="20"/>
                <w:color w:val="auto"/>
              </w:rPr>
            </w:pPr>
            <w:r>
              <w:rPr>
                <w:rFonts w:ascii="Arial" w:cs="Arial" w:eastAsia="Arial" w:hAnsi="Arial"/>
                <w:sz w:val="18"/>
                <w:szCs w:val="18"/>
                <w:b w:val="1"/>
                <w:bCs w:val="1"/>
                <w:color w:val="auto"/>
                <w:w w:val="98"/>
              </w:rPr>
              <w:t>TABLE OF CONTENTS</w:t>
            </w:r>
          </w:p>
        </w:tc>
        <w:tc>
          <w:tcPr>
            <w:tcW w:w="2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60" w:type="dxa"/>
            <w:vAlign w:val="bottom"/>
            <w:gridSpan w:val="14"/>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About This Prospectus</w:t>
              </w:r>
            </w:hyperlink>
          </w:p>
        </w:tc>
        <w:tc>
          <w:tcPr>
            <w:tcW w:w="23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2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60" w:type="dxa"/>
            <w:vAlign w:val="bottom"/>
            <w:gridSpan w:val="14"/>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About Alcobra Ltd.</w:t>
              </w:r>
            </w:hyperlink>
          </w:p>
        </w:tc>
        <w:tc>
          <w:tcPr>
            <w:tcW w:w="23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2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60" w:type="dxa"/>
            <w:vAlign w:val="bottom"/>
            <w:gridSpan w:val="14"/>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Risk Factors</w:t>
              </w:r>
            </w:hyperlink>
          </w:p>
        </w:tc>
        <w:tc>
          <w:tcPr>
            <w:tcW w:w="23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2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60" w:type="dxa"/>
            <w:vAlign w:val="bottom"/>
            <w:gridSpan w:val="14"/>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Warning Regarding Forward-Looking Statements</w:t>
              </w:r>
            </w:hyperlink>
          </w:p>
        </w:tc>
        <w:tc>
          <w:tcPr>
            <w:tcW w:w="23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2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60" w:type="dxa"/>
            <w:vAlign w:val="bottom"/>
            <w:gridSpan w:val="14"/>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Capitalization and Indebtedness</w:t>
              </w:r>
            </w:hyperlink>
          </w:p>
        </w:tc>
        <w:tc>
          <w:tcPr>
            <w:tcW w:w="23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2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60" w:type="dxa"/>
            <w:vAlign w:val="bottom"/>
            <w:gridSpan w:val="14"/>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Reasons for the Offer and Use of Proceeds</w:t>
              </w:r>
            </w:hyperlink>
          </w:p>
        </w:tc>
        <w:tc>
          <w:tcPr>
            <w:tcW w:w="23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2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60" w:type="dxa"/>
            <w:vAlign w:val="bottom"/>
            <w:gridSpan w:val="14"/>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Price Range of our Ordinary Shares</w:t>
              </w:r>
            </w:hyperlink>
          </w:p>
        </w:tc>
        <w:tc>
          <w:tcPr>
            <w:tcW w:w="23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2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60" w:type="dxa"/>
            <w:vAlign w:val="bottom"/>
            <w:gridSpan w:val="14"/>
            <w:shd w:val="clear" w:color="auto" w:fill="CCEEFF"/>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Description of Our Ordinary Shares</w:t>
              </w:r>
            </w:hyperlink>
          </w:p>
        </w:tc>
        <w:tc>
          <w:tcPr>
            <w:tcW w:w="23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2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60" w:type="dxa"/>
            <w:vAlign w:val="bottom"/>
            <w:gridSpan w:val="14"/>
            <w:shd w:val="clear" w:color="auto" w:fill="CCEEFF"/>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Plan of Distribution</w:t>
              </w:r>
            </w:hyperlink>
          </w:p>
        </w:tc>
        <w:tc>
          <w:tcPr>
            <w:tcW w:w="23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2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60" w:type="dxa"/>
            <w:vAlign w:val="bottom"/>
            <w:gridSpan w:val="14"/>
            <w:shd w:val="clear" w:color="auto" w:fill="CCEEFF"/>
          </w:tcPr>
          <w:p>
            <w:pPr>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Expenses</w:t>
              </w:r>
            </w:hyperlink>
          </w:p>
        </w:tc>
        <w:tc>
          <w:tcPr>
            <w:tcW w:w="23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2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60" w:type="dxa"/>
            <w:vAlign w:val="bottom"/>
            <w:gridSpan w:val="14"/>
            <w:shd w:val="clear" w:color="auto" w:fill="CCEEFF"/>
          </w:tcPr>
          <w:p>
            <w:pPr>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Legal Matters</w:t>
              </w:r>
            </w:hyperlink>
          </w:p>
        </w:tc>
        <w:tc>
          <w:tcPr>
            <w:tcW w:w="23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2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60" w:type="dxa"/>
            <w:vAlign w:val="bottom"/>
            <w:gridSpan w:val="14"/>
            <w:shd w:val="clear" w:color="auto" w:fill="CCEEFF"/>
          </w:tcPr>
          <w:p>
            <w:pPr>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Experts</w:t>
              </w:r>
            </w:hyperlink>
          </w:p>
        </w:tc>
        <w:tc>
          <w:tcPr>
            <w:tcW w:w="23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2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60" w:type="dxa"/>
            <w:vAlign w:val="bottom"/>
            <w:gridSpan w:val="14"/>
            <w:shd w:val="clear" w:color="auto" w:fill="CCEEFF"/>
          </w:tcPr>
          <w:p>
            <w:pPr>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Where You Can Find More Information and Incorporation of Certain Information By Reference</w:t>
              </w:r>
            </w:hyperlink>
          </w:p>
        </w:tc>
        <w:tc>
          <w:tcPr>
            <w:tcW w:w="23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3320" w:type="dxa"/>
            <w:vAlign w:val="bottom"/>
            <w:tcBorders>
              <w:top w:val="single" w:sz="8" w:color="0000EE"/>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2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60" w:type="dxa"/>
            <w:vAlign w:val="bottom"/>
            <w:gridSpan w:val="14"/>
            <w:shd w:val="clear" w:color="auto" w:fill="CCEEFF"/>
          </w:tcPr>
          <w:p>
            <w:pPr>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Enforceability of Civil Liabilities</w:t>
              </w:r>
            </w:hyperlink>
          </w:p>
        </w:tc>
        <w:tc>
          <w:tcPr>
            <w:tcW w:w="23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500" w:type="dxa"/>
            <w:vAlign w:val="bottom"/>
            <w:tcBorders>
              <w:top w:val="single" w:sz="8" w:color="CCEEFF"/>
            </w:tcBorders>
          </w:tcPr>
          <w:p>
            <w:pPr>
              <w:spacing w:after="0"/>
              <w:rPr>
                <w:sz w:val="24"/>
                <w:szCs w:val="24"/>
                <w:color w:val="auto"/>
              </w:rPr>
            </w:pPr>
          </w:p>
        </w:tc>
        <w:tc>
          <w:tcPr>
            <w:tcW w:w="500" w:type="dxa"/>
            <w:vAlign w:val="bottom"/>
            <w:tcBorders>
              <w:top w:val="single" w:sz="8" w:color="CCEEFF"/>
            </w:tcBorders>
          </w:tcPr>
          <w:p>
            <w:pPr>
              <w:spacing w:after="0"/>
              <w:rPr>
                <w:sz w:val="24"/>
                <w:szCs w:val="24"/>
                <w:color w:val="auto"/>
              </w:rPr>
            </w:pPr>
          </w:p>
        </w:tc>
        <w:tc>
          <w:tcPr>
            <w:tcW w:w="5500" w:type="dxa"/>
            <w:vAlign w:val="bottom"/>
            <w:tcBorders>
              <w:top w:val="single" w:sz="8" w:color="CCEEFF"/>
            </w:tcBorders>
            <w:gridSpan w:val="2"/>
          </w:tcPr>
          <w:p>
            <w:pPr>
              <w:jc w:val="center"/>
              <w:ind w:right="1240"/>
              <w:spacing w:after="0"/>
              <w:rPr>
                <w:sz w:val="20"/>
                <w:szCs w:val="20"/>
                <w:color w:val="auto"/>
              </w:rPr>
            </w:pPr>
            <w:r>
              <w:rPr>
                <w:rFonts w:ascii="Arial" w:cs="Arial" w:eastAsia="Arial" w:hAnsi="Arial"/>
                <w:sz w:val="18"/>
                <w:szCs w:val="18"/>
                <w:b w:val="1"/>
                <w:bCs w:val="1"/>
                <w:color w:val="auto"/>
                <w:w w:val="97"/>
              </w:rPr>
              <w:t>ABOUT THIS PROSPECTUS</w:t>
            </w:r>
          </w:p>
        </w:tc>
        <w:tc>
          <w:tcPr>
            <w:tcW w:w="234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180" w:firstLine="648"/>
        <w:spacing w:after="0" w:line="286" w:lineRule="auto"/>
        <w:rPr>
          <w:sz w:val="20"/>
          <w:szCs w:val="20"/>
          <w:color w:val="auto"/>
        </w:rPr>
      </w:pPr>
      <w:r>
        <w:rPr>
          <w:rFonts w:ascii="Arial" w:cs="Arial" w:eastAsia="Arial" w:hAnsi="Arial"/>
          <w:sz w:val="17"/>
          <w:szCs w:val="17"/>
          <w:color w:val="auto"/>
        </w:rPr>
        <w:t>This prospectus is part of a registration statement on Form F-3 that we filed with the Securities and Exchange Commission, or the SEC, utilizing a “shelf” registration process. Under this shelf registration process, we may offer from time to time up to an aggregate of $100,000,000 of our ordinary shares in one or more offerings. We sometimes refer to our ordinary shares as the “securities” throughout this prospectus.</w:t>
      </w:r>
    </w:p>
    <w:p>
      <w:pPr>
        <w:spacing w:after="0" w:line="166"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Each time we sell ordinary shares, we will provide you with a prospectus supplement that will describe the specific amounts, prices and terms of such offering. We may also authorize one or more free writing prospectuses to be provided to you in connection with such offering. The prospectus supplement and any related free writing prospectuses may also add, update or change information contained in this prospectus. You should read carefully both this prospectus, the applicable prospectus supplement and any related free writing prospectus together with additional information described below under “Where You Can Find More Information and Incorporation by Reference” before buying the ordinary shares being offered.</w:t>
      </w:r>
    </w:p>
    <w:p>
      <w:pPr>
        <w:spacing w:after="0" w:line="173"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This prospectus does not contain all of the information provided in the registration statement that we filed with the SEC. For further information about us or our ordinary shares, you should refer to that registration statement, which you can obtain from the SEC as described below under “Where You Can Find More Information and Incorporation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ind w:right="120" w:firstLine="648"/>
        <w:spacing w:after="0" w:line="272" w:lineRule="auto"/>
        <w:rPr>
          <w:sz w:val="20"/>
          <w:szCs w:val="20"/>
          <w:color w:val="auto"/>
        </w:rPr>
      </w:pPr>
      <w:r>
        <w:rPr>
          <w:rFonts w:ascii="Arial" w:cs="Arial" w:eastAsia="Arial" w:hAnsi="Arial"/>
          <w:sz w:val="17"/>
          <w:szCs w:val="17"/>
          <w:color w:val="auto"/>
        </w:rPr>
        <w:t>You should rely only on the information contained or incorporated by reference in this prospectus, a prospectus supplement and related free writing prospectuses. We have not authorized any other person to provide you with different information. If anyone provides you with different or inconsistent information, you should not rely on it. This prospectus is not an offer to sell these securities and it is not soliciting an offer to buy these securities in any jurisdiction where the offer or sale is not permitted. You should not assume that the information contained in this prospectus and the accompanying prospectus supplement or related free writing prospectuses is accurate on any date subsequent to the date set forth on the front of the document or that any information that we have incorporated by reference is correct on any date subsequent to the date of the document incorporated by reference. Our business, financial condition, results of operations and prospects may have changed since those dates.</w:t>
      </w:r>
    </w:p>
    <w:p>
      <w:pPr>
        <w:spacing w:after="0" w:line="178"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In this prospectus, references to the terms “Alcobra,” “the Company,” “we,” “us,” “our” and similar terms, refer to Alcobra Ltd., unless we state or the context implies otherwise. References to our “ordinary shares” mean our ordinary shares, par value New Israeli Shekels, or NIS, 0.01 per share.</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ABOUT ALCOBRA LTD.</w:t>
      </w:r>
    </w:p>
    <w:p>
      <w:pPr>
        <w:spacing w:after="0" w:line="229" w:lineRule="exact"/>
        <w:rPr>
          <w:sz w:val="20"/>
          <w:szCs w:val="20"/>
          <w:color w:val="auto"/>
        </w:rPr>
      </w:pPr>
    </w:p>
    <w:p>
      <w:pPr>
        <w:ind w:right="460" w:firstLine="648"/>
        <w:spacing w:after="0" w:line="264" w:lineRule="auto"/>
        <w:rPr>
          <w:sz w:val="20"/>
          <w:szCs w:val="20"/>
          <w:color w:val="auto"/>
        </w:rPr>
      </w:pPr>
      <w:r>
        <w:rPr>
          <w:rFonts w:ascii="Arial" w:cs="Arial" w:eastAsia="Arial" w:hAnsi="Arial"/>
          <w:sz w:val="18"/>
          <w:szCs w:val="18"/>
          <w:i w:val="1"/>
          <w:iCs w:val="1"/>
          <w:color w:val="auto"/>
        </w:rPr>
        <w:t>This summary highlights information contained in the documents incorporated herein by reference. Before making an investment decision, you should read the entire prospectus, and our other filings with the SEC, including those filings incorporated herein by reference, carefully, including the sections entitled “Risk Factors” and “Warning Regarding Forward-Looking Statements.”</w:t>
      </w:r>
    </w:p>
    <w:p>
      <w:pPr>
        <w:spacing w:after="0" w:line="181" w:lineRule="exact"/>
        <w:rPr>
          <w:sz w:val="20"/>
          <w:szCs w:val="20"/>
          <w:color w:val="auto"/>
        </w:rPr>
      </w:pPr>
    </w:p>
    <w:p>
      <w:pPr>
        <w:jc w:val="both"/>
        <w:ind w:right="580" w:firstLine="648"/>
        <w:spacing w:after="0" w:line="312" w:lineRule="auto"/>
        <w:rPr>
          <w:sz w:val="20"/>
          <w:szCs w:val="20"/>
          <w:color w:val="auto"/>
        </w:rPr>
      </w:pPr>
      <w:r>
        <w:rPr>
          <w:rFonts w:ascii="Arial" w:cs="Arial" w:eastAsia="Arial" w:hAnsi="Arial"/>
          <w:sz w:val="16"/>
          <w:szCs w:val="16"/>
          <w:color w:val="auto"/>
        </w:rPr>
        <w:t>We are an emerging biopharmaceutical company primarily focused on the development and commercialization of proprietary pharmaceutical products for treatment of Central Nervous System (CNS) disorders, and cognitive dysfunctions in particular. Our lead drug candidate is MDX for the treatment of Attention Deficit and Hyperactivity Disorder, or ADHD, and other cognitive dysfunctions including Fragile X Syndrome.</w:t>
      </w:r>
    </w:p>
    <w:p>
      <w:pPr>
        <w:spacing w:after="0" w:line="147"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The most common currently available treatments for ADHD are stimulants that increase the brain chemicals dopamine and norepinephrine. Stimulants have significant side effects, and are classified as controlled substances which have significant potential for misuse, abuse and addiction. MDX is not a stimulant, and works with a different mechanism of action. MDX is a proprietary, combined rapid onset/extended release formulation of the chemical Pyridoxine Pyroglutamate, which is more broadly known as Metadoxine. In September 2011, we completed a 120 subject double-blind placebo-controlled Phase 2 study in adult ADHD subjects that showed statistically significant improvement in clinical ADHD symptoms, and also showed favorable tolerability with no significant side effects over a placebo. The trial met all primary and secondary clinical endpoints showing statistically significant improvement over the placebo-treated control group. In December 2013, we completed an additional 36 subject double-blind placebo-controlled Phase 2 study in adult ADHD confirming our previous findings and highlighting the rapid onset of the drug, demonstrating efficacy over placebo from first day of dosing.</w:t>
      </w:r>
    </w:p>
    <w:p>
      <w:pPr>
        <w:spacing w:after="0" w:line="166"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In March 2014, following the U.S. Food and Drug Administration, or FDA, acceptance of our investigational new drug application (IND) for MDX, we initiated patient enrollment in a Phase 3 clinical trial for the use of MDX to treat ADHD in adults. This study is a 300-patient, randomized, placebo-controlled trial conducted at 20 sites – 18 in the U.S. and 2 in Israel. If this and any future clinical trials demonstrate the safety and efficacy of MDX, we will seek to obtain marketing approval from the FDA for MDX for use in adults. We have similar plans to seek marketing approval in the European Union, Japan and other territories.</w:t>
      </w:r>
    </w:p>
    <w:p>
      <w:pPr>
        <w:spacing w:after="0" w:line="188" w:lineRule="exact"/>
        <w:rPr>
          <w:sz w:val="20"/>
          <w:szCs w:val="20"/>
          <w:color w:val="auto"/>
        </w:rPr>
      </w:pPr>
    </w:p>
    <w:p>
      <w:pPr>
        <w:jc w:val="both"/>
        <w:ind w:right="420" w:firstLine="648"/>
        <w:spacing w:after="0" w:line="264" w:lineRule="auto"/>
        <w:rPr>
          <w:sz w:val="20"/>
          <w:szCs w:val="20"/>
          <w:color w:val="auto"/>
        </w:rPr>
      </w:pPr>
      <w:r>
        <w:rPr>
          <w:rFonts w:ascii="Arial" w:cs="Arial" w:eastAsia="Arial" w:hAnsi="Arial"/>
          <w:sz w:val="18"/>
          <w:szCs w:val="18"/>
          <w:color w:val="auto"/>
        </w:rPr>
        <w:t>Subject to obtaining the necessary regulatory clearances, we further plan to conduct a Phase II study in pediatric ADHD in 2014, followed by a Phase 3 study in this population in 2015, and, if the data supports it, proceed to request a marketing authorization. The requirements to conduct pediatric clinical trials are more stringent than those for adults.</w:t>
      </w:r>
    </w:p>
    <w:p>
      <w:pPr>
        <w:spacing w:after="0" w:line="18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also plan to advance clinical studies and commercialization plans for MDX in additional indications of cognitive dysfunction which present significant market opportunities, such as Fragile X Syndrome, where we announced positive results from pre-clinical studies. Fragile X Syndrome is a neurogenetic disorder characterized by intellectual disability, behavioral and learning challenges. It is the leading known genetic cause of autism, and accounts for approximately 2-5% of autism cases. According to the U.S. Centers for Disease Control and Prevention, approximately 1 in 4,000 males and 1 in 8,000 females have Fragile X Syndrome.</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5" w:name="page6"/>
    <w:bookmarkEnd w:id="5"/>
    <w:p>
      <w:pPr>
        <w:ind w:right="180" w:firstLine="648"/>
        <w:spacing w:after="0" w:line="342" w:lineRule="auto"/>
        <w:rPr>
          <w:sz w:val="20"/>
          <w:szCs w:val="20"/>
          <w:color w:val="auto"/>
        </w:rPr>
      </w:pPr>
      <w:r>
        <w:rPr>
          <w:rFonts w:ascii="Arial" w:cs="Arial" w:eastAsia="Arial" w:hAnsi="Arial"/>
          <w:sz w:val="16"/>
          <w:szCs w:val="16"/>
          <w:color w:val="auto"/>
        </w:rPr>
        <w:t>In May 2014, the FDA has accepted our Phase IIb clinical trial protocol for MDX for the treatment of adolescent and adult patients with Fragile X Syndrome. This trial will be a multi-center, randomized, placebo-controlled study and will be conducted primarily in the U.S. including 10 clinical sites.</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Investing in our securities involves significant risks. Before making an investment decision, you should carefully consider the risks described under “Risk Factors” in the applicable prospectus supplement and under Item 3.D. – “Risk Factors” in our most recent Annual Report on Form 20-F, or any updates in our Reports on Form 6-K, together with all of the other information appearing in this prospectus or incorporated by reference into this prospectus and any applicable prospectus supplement, in light of your particular investment objectives and financial circumstances. The risks so described are not the only risks facing us. Additional risks not presently known to us or that we currently deem immaterial may also impair our business operations. Our business, financial condition and results of operations could be materially adversely affected by any of these risks. The trading price of our securities could decline due to any of these risks, and you may lose all or part of your investment. The discussion of risks includes or refers to forward-looking statements; you should read the explanation of the qualifications and limitations on such forward-looking statements discussed elsewhere in this prospectus.</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WARNING REGARDING FORWARD-LOOKING STATEMENTS</w:t>
      </w:r>
    </w:p>
    <w:p>
      <w:pPr>
        <w:spacing w:after="0" w:line="229"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This prospectus contains and any prospectus supplement may contain, “forward-looking statements” within the meaning of the Private Securities Litigation Reform Act of 1995 and other U.S. Federal securities laws. Also, documents that we incorporate by reference into this prospectus, including documents that we subsequently file with the SEC, will contain forward-looking statements. These forward-looking statements include, but are not limited to, those statements regarding anticipated expenses, capital requirements and our needs for additional financing; timing, design, the initiation and successful completion of the clinical trials we are or anticipate conducting, if at all; FDA approval of, or other regulatory action in the U.S. and elsewhere, with respect to MDX; the commercial launch and future sales of MDX or any other future products or product candidates; our ability to achieve favorable pricing for MDX; and our expectations regarding licensing, acquisitions and strategic operations. In some cases, forward-looking statements are identified by terminology such as “may,” “will,” “could,” “should,” “expects,” “plans,” “anticipates,” “believes,” “intends,” “estimates,” “predicts,” “potential,” or “continue” or the negative of these terms or other comparable terminology. Such forward-looking statements involve known and unknown risks, uncertainties and other factors that may cause actual results or performance to differ materially from those projected. 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In addition, historic results of scientific research and clinical and preclinical trials do not guarantee that the conclusions of future research or trials would not suggest different conclusions or that historic results referred to in this prospectus would be interpreted differently in light of additional research and clinical and preclinical trials results. The forward-looking statements contained in this prospectus are subject to risks and uncertainties, including in our most recent Annual Report on Form 20-F, under Item 3.D. – “Risk Factors” and in our other filings with the SEC. You are cautioned not to place undue reliance on these forward looking statements, which speak only as of the date hereof. Although we believe that the expectations reflected in the forward-looking statements are reasonable, we cannot guarantee future results, levels of activity, performance, or achievements. Except as otherwise required by law, we are under no obligation to (and expressly disclaim any such obligation to) update or revise any of the forward-looking statements, whether as a result of new information, future events or otherwise, after the date of this prospectus.</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81" w:right="27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CAPITALIZATION AND INDEBTEDNESS</w:t>
      </w:r>
    </w:p>
    <w:p>
      <w:pPr>
        <w:spacing w:after="0" w:line="229"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The following table sets forth cash and cash equivalents, short-term investments and our shareholders’ equity as of March 31, 2014. The financial data in the following table should be read in conjunction with our consolidated unaudited financial statements included in the report of foreign private issuer on Form 6-K furnished to the SEC on May 15, 2014 for the period ended March 31, 2014, , which have been incorporated by reference in this prospectus.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As of March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13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(unaudited, U.S.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Dollars, in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thousands)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Short-term bank deposit</w:t>
            </w: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34,033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Shareholders’ equity:</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Ordinary Shares of NIS 0.01 par value:</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Authorized – 50,000,000 as of March 31, 2014;</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Outstanding – 13,636,709 shares as of March 31, 2014.</w:t>
            </w: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Deficit accumulated during the development stage</w:t>
            </w:r>
          </w:p>
        </w:tc>
        <w:tc>
          <w:tcPr>
            <w:tcW w:w="1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(26,500)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1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42,257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060" w:type="dxa"/>
            <w:vAlign w:val="bottom"/>
            <w:gridSpan w:val="2"/>
            <w:vMerge w:val="restart"/>
          </w:tcPr>
          <w:p>
            <w:pPr>
              <w:spacing w:after="0"/>
              <w:rPr>
                <w:sz w:val="20"/>
                <w:szCs w:val="20"/>
                <w:color w:val="auto"/>
              </w:rPr>
            </w:pPr>
            <w:r>
              <w:rPr>
                <w:rFonts w:ascii="Arial" w:cs="Arial" w:eastAsia="Arial" w:hAnsi="Arial"/>
                <w:sz w:val="18"/>
                <w:szCs w:val="18"/>
                <w:color w:val="auto"/>
              </w:rPr>
              <w:t>Capitalization</w:t>
            </w: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0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42,257</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REASONS FOR THE OFFER AND USE OF PROCEEDS</w:t>
      </w:r>
    </w:p>
    <w:p>
      <w:pPr>
        <w:spacing w:after="0" w:line="229"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Unless otherwise set forth in the related prospectus supplement or, if applicable, the pricing supplement, we intend to use the net proceeds from the sale of securities offered through this prospectus for general corporate purposes, which include financing our operations, capital expenditures and business development. The specific purpose of any individual issuance of securities will be described in the related prospectus supplement.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 RANGE OF OUR ORDINARY SHARES</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Our ordinary shares were listed on the NASDAQ Capital Market under the symbol “ADHD” from May 22, 2013 until March 27, 2014. Since March 28, 2014, our ordinary shares have been listed on the NASDAQ Global Market. Prior to May 22, 2013, there was no public trading market for our ordinary shares. Our initial public offering was priced at $8.00 per share on May 21, 2013. The following table sets forth for the periods indicated the high and low sales prices per ordinary share as reported on the NASDAQ Capital Market through March 27, 2014, and, starting March 28, 2014, on the NASDAQ Global Market:</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60" w:type="dxa"/>
            <w:vAlign w:val="bottom"/>
            <w:gridSpan w:val="2"/>
          </w:tcPr>
          <w:p>
            <w:pPr>
              <w:spacing w:after="0"/>
              <w:rPr>
                <w:sz w:val="20"/>
                <w:szCs w:val="20"/>
                <w:color w:val="auto"/>
              </w:rPr>
            </w:pPr>
            <w:r>
              <w:rPr>
                <w:rFonts w:ascii="Arial" w:cs="Arial" w:eastAsia="Arial" w:hAnsi="Arial"/>
                <w:sz w:val="18"/>
                <w:szCs w:val="18"/>
                <w:b w:val="1"/>
                <w:bCs w:val="1"/>
                <w:color w:val="auto"/>
              </w:rPr>
              <w:t>Annual Information:</w:t>
            </w:r>
          </w:p>
        </w:tc>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ind w:left="180"/>
              <w:spacing w:after="0"/>
              <w:rPr>
                <w:sz w:val="20"/>
                <w:szCs w:val="20"/>
                <w:color w:val="auto"/>
              </w:rPr>
            </w:pPr>
            <w:r>
              <w:rPr>
                <w:rFonts w:ascii="Arial" w:cs="Arial" w:eastAsia="Arial" w:hAnsi="Arial"/>
                <w:sz w:val="18"/>
                <w:szCs w:val="18"/>
                <w:b w:val="1"/>
                <w:bCs w:val="1"/>
                <w:color w:val="auto"/>
              </w:rPr>
              <w:t>Low</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b w:val="1"/>
                <w:bCs w:val="1"/>
                <w:color w:val="auto"/>
              </w:rPr>
              <w:t>High</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2013</w:t>
            </w:r>
          </w:p>
        </w:tc>
        <w:tc>
          <w:tcPr>
            <w:tcW w:w="4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4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Quarterly Information</w:t>
            </w:r>
          </w:p>
        </w:tc>
        <w:tc>
          <w:tcPr>
            <w:tcW w:w="4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Second Quarter 2013</w:t>
            </w:r>
          </w:p>
        </w:tc>
        <w:tc>
          <w:tcPr>
            <w:tcW w:w="490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6.64</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Third Quarter 2013</w:t>
            </w:r>
          </w:p>
        </w:tc>
        <w:tc>
          <w:tcPr>
            <w:tcW w:w="490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6.84</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Fourth Quarter 2013</w:t>
            </w:r>
          </w:p>
        </w:tc>
        <w:tc>
          <w:tcPr>
            <w:tcW w:w="490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15.51</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First Quarter 2014</w:t>
            </w:r>
          </w:p>
        </w:tc>
        <w:tc>
          <w:tcPr>
            <w:tcW w:w="490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17.86</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Second Quarter 2014</w:t>
            </w:r>
          </w:p>
        </w:tc>
        <w:tc>
          <w:tcPr>
            <w:tcW w:w="490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14.03</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20.62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4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b w:val="1"/>
                <w:bCs w:val="1"/>
                <w:color w:val="auto"/>
              </w:rPr>
              <w:t>Monthly Information:</w:t>
            </w:r>
          </w:p>
        </w:tc>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January 2014</w:t>
            </w:r>
          </w:p>
        </w:tc>
        <w:tc>
          <w:tcPr>
            <w:tcW w:w="490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17.86</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February 2014</w:t>
            </w:r>
          </w:p>
        </w:tc>
        <w:tc>
          <w:tcPr>
            <w:tcW w:w="490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19.95</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March 2014</w:t>
            </w:r>
          </w:p>
        </w:tc>
        <w:tc>
          <w:tcPr>
            <w:tcW w:w="490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18.15</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April 2014</w:t>
            </w:r>
          </w:p>
        </w:tc>
        <w:tc>
          <w:tcPr>
            <w:tcW w:w="490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14.03</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May 2014</w:t>
            </w:r>
          </w:p>
        </w:tc>
        <w:tc>
          <w:tcPr>
            <w:tcW w:w="490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15.85</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June 2014</w:t>
            </w:r>
          </w:p>
        </w:tc>
        <w:tc>
          <w:tcPr>
            <w:tcW w:w="490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16.44</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July 2014 (through July 7, 2014)</w:t>
            </w:r>
          </w:p>
        </w:tc>
        <w:tc>
          <w:tcPr>
            <w:tcW w:w="490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17.94</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19.73</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tcPr>
          <w:p>
            <w:pPr>
              <w:jc w:val="right"/>
              <w:ind w:right="2510"/>
              <w:spacing w:after="0"/>
              <w:rPr>
                <w:sz w:val="20"/>
                <w:szCs w:val="20"/>
                <w:color w:val="auto"/>
              </w:rPr>
            </w:pPr>
            <w:r>
              <w:rPr>
                <w:rFonts w:ascii="Arial" w:cs="Arial" w:eastAsia="Arial" w:hAnsi="Arial"/>
                <w:sz w:val="18"/>
                <w:szCs w:val="18"/>
                <w:color w:val="auto"/>
              </w:rPr>
              <w:t>- 4 -</w:t>
            </w: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DESCRIPTION OF OUR ORDINARY SHARES</w:t>
      </w:r>
    </w:p>
    <w:p>
      <w:pPr>
        <w:spacing w:after="0" w:line="22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following is a summary description of our ordinary shares under our amended and restated articles of association, or Articles of Association. Our share capital is NIS 500,000, consisting of 50,000,000 ordinary shares NIS 0.01 par value per share. The ordinary shares do not have cumulative voting rights in the election of directors. As a result, the holders of ordinary shares that represent more than 50% of the voting power have the power to elect all the directors.</w:t>
      </w:r>
    </w:p>
    <w:p>
      <w:pPr>
        <w:spacing w:after="0" w:line="18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i w:val="1"/>
          <w:iCs w:val="1"/>
          <w:color w:val="auto"/>
        </w:rPr>
        <w:t xml:space="preserve">Dividend and Liquidation Rights. </w:t>
      </w:r>
      <w:r>
        <w:rPr>
          <w:rFonts w:ascii="Arial" w:cs="Arial" w:eastAsia="Arial" w:hAnsi="Arial"/>
          <w:sz w:val="17"/>
          <w:szCs w:val="17"/>
          <w:color w:val="auto"/>
        </w:rPr>
        <w:t>Our board of directors may declare a dividend to be paid to the holders of our ordinary shares according to their</w:t>
      </w:r>
      <w:r>
        <w:rPr>
          <w:rFonts w:ascii="Arial" w:cs="Arial" w:eastAsia="Arial" w:hAnsi="Arial"/>
          <w:sz w:val="17"/>
          <w:szCs w:val="17"/>
          <w:i w:val="1"/>
          <w:iCs w:val="1"/>
          <w:color w:val="auto"/>
        </w:rPr>
        <w:t xml:space="preserve"> </w:t>
      </w:r>
      <w:r>
        <w:rPr>
          <w:rFonts w:ascii="Arial" w:cs="Arial" w:eastAsia="Arial" w:hAnsi="Arial"/>
          <w:sz w:val="17"/>
          <w:szCs w:val="17"/>
          <w:color w:val="auto"/>
        </w:rPr>
        <w:t>rights and interests in our profits and may fix the record date for eligibility and the time for payment. The directors may from time to time pay to the shareholders on account of the next forthcoming dividend such interim dividends as, in their judgment, our position justifies. All dividends unclaimed for one year after having been declared may be invested or otherwise used by the directors for our benefit until claimed. No unpaid dividend or interest shall bear interest as against us. Our board of directors may determine that a dividend may be paid, wholly or partially, by the distribution of certain of our assets or by a distribution of paid up shares, debentures or debenture stock or any of our securities or of any other companies or in any one or more of such ways in the manner and to the extent permitted by the Israeli Companies Law 1999, or the Companies Law.</w:t>
      </w:r>
    </w:p>
    <w:p>
      <w:pPr>
        <w:spacing w:after="0" w:line="178"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i w:val="1"/>
          <w:iCs w:val="1"/>
          <w:color w:val="auto"/>
        </w:rPr>
        <w:t xml:space="preserve">Voting; annual, general and extraordinary meeting. </w:t>
      </w:r>
      <w:r>
        <w:rPr>
          <w:rFonts w:ascii="Arial" w:cs="Arial" w:eastAsia="Arial" w:hAnsi="Arial"/>
          <w:sz w:val="17"/>
          <w:szCs w:val="17"/>
          <w:color w:val="auto"/>
        </w:rPr>
        <w:t>Subject to any rights or restrictions for the time being attached to any class or classes of shares,</w:t>
      </w:r>
      <w:r>
        <w:rPr>
          <w:rFonts w:ascii="Arial" w:cs="Arial" w:eastAsia="Arial" w:hAnsi="Arial"/>
          <w:sz w:val="17"/>
          <w:szCs w:val="17"/>
          <w:i w:val="1"/>
          <w:iCs w:val="1"/>
          <w:color w:val="auto"/>
        </w:rPr>
        <w:t xml:space="preserve"> </w:t>
      </w:r>
      <w:r>
        <w:rPr>
          <w:rFonts w:ascii="Arial" w:cs="Arial" w:eastAsia="Arial" w:hAnsi="Arial"/>
          <w:sz w:val="17"/>
          <w:szCs w:val="17"/>
          <w:color w:val="auto"/>
        </w:rPr>
        <w:t>each shareholder shall have one vote for each share of which he or she is the holder, whether on a show of hands or on a poll. Our Articles of Association do not permit cumulative voting and it is not mandated by Israeli law. Votes may be given either personally or by proxy. A proxy need not be a shareholder. If any shareholder is without legal capacity, he may vote by means of a trustee or a legal custodian, who may vote either personally or by proxy. If two or more persons are jointly entitled to a share then, in voting upon any question, the vote of the senior person who tenders a vote, whether in person or by proxy, shall be accepted to the exclusion of the votes of the other registered holders of the share and, for this purpose seniority shall be determined by the order in which the names stand in the shareholder register.</w:t>
      </w:r>
    </w:p>
    <w:p>
      <w:pPr>
        <w:spacing w:after="0" w:line="178"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i w:val="1"/>
          <w:iCs w:val="1"/>
          <w:color w:val="auto"/>
        </w:rPr>
        <w:t xml:space="preserve">Quorum for general meetings. </w:t>
      </w:r>
      <w:r>
        <w:rPr>
          <w:rFonts w:ascii="Arial" w:cs="Arial" w:eastAsia="Arial" w:hAnsi="Arial"/>
          <w:sz w:val="16"/>
          <w:szCs w:val="16"/>
          <w:color w:val="auto"/>
        </w:rPr>
        <w:t>The quorum required for our general meetings of shareholders consists of at least two shareholders present in person,</w:t>
      </w:r>
      <w:r>
        <w:rPr>
          <w:rFonts w:ascii="Arial" w:cs="Arial" w:eastAsia="Arial" w:hAnsi="Arial"/>
          <w:sz w:val="16"/>
          <w:szCs w:val="16"/>
          <w:i w:val="1"/>
          <w:iCs w:val="1"/>
          <w:color w:val="auto"/>
        </w:rPr>
        <w:t xml:space="preserve"> </w:t>
      </w:r>
      <w:r>
        <w:rPr>
          <w:rFonts w:ascii="Arial" w:cs="Arial" w:eastAsia="Arial" w:hAnsi="Arial"/>
          <w:sz w:val="16"/>
          <w:szCs w:val="16"/>
          <w:color w:val="auto"/>
        </w:rPr>
        <w:t>by proxy or written ballot who holds or represent between them at least one-third of the total outstanding voting rights. A meeting adjourned for lack of a quorum is generally adjourned to the same day in the following week at the same time and place or to a later time/date if so specified in the summons or notice of the meeting. At the reconvened meeting, any two or more shareholders present in person or by proxy shall constitute a lawful quorum.</w:t>
      </w:r>
    </w:p>
    <w:p>
      <w:pPr>
        <w:spacing w:after="0" w:line="15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Notice of general meetings</w:t>
      </w:r>
      <w:r>
        <w:rPr>
          <w:rFonts w:ascii="Arial" w:cs="Arial" w:eastAsia="Arial" w:hAnsi="Arial"/>
          <w:sz w:val="18"/>
          <w:szCs w:val="18"/>
          <w:color w:val="auto"/>
        </w:rPr>
        <w:t>. Unless a longer period for notice is prescribed by the Companies Law, at least 10 days and not more than 60 days’ notice</w:t>
      </w:r>
      <w:r>
        <w:rPr>
          <w:rFonts w:ascii="Arial" w:cs="Arial" w:eastAsia="Arial" w:hAnsi="Arial"/>
          <w:sz w:val="18"/>
          <w:szCs w:val="18"/>
          <w:i w:val="1"/>
          <w:iCs w:val="1"/>
          <w:color w:val="auto"/>
        </w:rPr>
        <w:t xml:space="preserve"> </w:t>
      </w:r>
      <w:r>
        <w:rPr>
          <w:rFonts w:ascii="Arial" w:cs="Arial" w:eastAsia="Arial" w:hAnsi="Arial"/>
          <w:sz w:val="18"/>
          <w:szCs w:val="18"/>
          <w:color w:val="auto"/>
        </w:rPr>
        <w:t>of any general meeting shall be given, specifying the place, the day and the hour of the meeting and, in the case of special business, the nature of such business, shall be given in the manner hereinafter mentioned, to such shareholders as are under the provisions of our Articles of Association, entitled to receive notices from us. Only shareholders of record as reflected on our share register at the close of business on the date fixed by the board of directors as the record date determining the then shareholders who will be entitled to vote, shall be entitled to notice of, and to vote, in person or by proxy, at a general meeting and any postponement or adjournment thereof.</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8" w:name="page9"/>
    <w:bookmarkEnd w:id="8"/>
    <w:p>
      <w:pPr>
        <w:ind w:firstLine="648"/>
        <w:spacing w:after="0" w:line="255" w:lineRule="auto"/>
        <w:rPr>
          <w:sz w:val="20"/>
          <w:szCs w:val="20"/>
          <w:color w:val="auto"/>
        </w:rPr>
      </w:pPr>
      <w:r>
        <w:rPr>
          <w:rFonts w:ascii="Arial" w:cs="Arial" w:eastAsia="Arial" w:hAnsi="Arial"/>
          <w:sz w:val="18"/>
          <w:szCs w:val="18"/>
          <w:i w:val="1"/>
          <w:iCs w:val="1"/>
          <w:color w:val="auto"/>
        </w:rPr>
        <w:t xml:space="preserve">Annual general meetings; agenda; calling a general meeting. </w:t>
      </w:r>
      <w:r>
        <w:rPr>
          <w:rFonts w:ascii="Arial" w:cs="Arial" w:eastAsia="Arial" w:hAnsi="Arial"/>
          <w:sz w:val="18"/>
          <w:szCs w:val="18"/>
          <w:color w:val="auto"/>
        </w:rPr>
        <w:t>General meetings are held at least once in every calendar year at such time (within a</w:t>
      </w:r>
      <w:r>
        <w:rPr>
          <w:rFonts w:ascii="Arial" w:cs="Arial" w:eastAsia="Arial" w:hAnsi="Arial"/>
          <w:sz w:val="18"/>
          <w:szCs w:val="18"/>
          <w:i w:val="1"/>
          <w:iCs w:val="1"/>
          <w:color w:val="auto"/>
        </w:rPr>
        <w:t xml:space="preserve"> </w:t>
      </w:r>
      <w:r>
        <w:rPr>
          <w:rFonts w:ascii="Arial" w:cs="Arial" w:eastAsia="Arial" w:hAnsi="Arial"/>
          <w:sz w:val="18"/>
          <w:szCs w:val="18"/>
          <w:color w:val="auto"/>
        </w:rPr>
        <w:t>period of 15 months after the holding of the last preceding general meeting), and at such time and place as may be determined by the board of directors. At a general meeting, decisions shall be adopted only on matters that were specified on the agenda. The board of directors is obligated to call extraordinary general meeting of the shareholders upon a written request in accordance with the Companies Law. The Companies Law provides that an extraordinary general meeting of shareholder may be called by the board of directors or by a request of two directors or 25% of the directors in office, or by shareholders holding at least 5% of the issued share capital of the company and at least 1% of the voting rights, or of shareholders holding at least 5% of the voting rights of the company.</w:t>
      </w:r>
    </w:p>
    <w:p>
      <w:pPr>
        <w:spacing w:after="0" w:line="18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i w:val="1"/>
          <w:iCs w:val="1"/>
          <w:color w:val="auto"/>
        </w:rPr>
        <w:t xml:space="preserve">Majority vote. </w:t>
      </w:r>
      <w:r>
        <w:rPr>
          <w:rFonts w:ascii="Arial" w:cs="Arial" w:eastAsia="Arial" w:hAnsi="Arial"/>
          <w:sz w:val="18"/>
          <w:szCs w:val="18"/>
          <w:color w:val="auto"/>
        </w:rPr>
        <w:t>Except as otherwise provided in the Articles of Association, any resolution at a general meeting shall be deemed adopted if approved</w:t>
      </w:r>
      <w:r>
        <w:rPr>
          <w:rFonts w:ascii="Arial" w:cs="Arial" w:eastAsia="Arial" w:hAnsi="Arial"/>
          <w:sz w:val="18"/>
          <w:szCs w:val="18"/>
          <w:i w:val="1"/>
          <w:iCs w:val="1"/>
          <w:color w:val="auto"/>
        </w:rPr>
        <w:t xml:space="preserve"> </w:t>
      </w:r>
      <w:r>
        <w:rPr>
          <w:rFonts w:ascii="Arial" w:cs="Arial" w:eastAsia="Arial" w:hAnsi="Arial"/>
          <w:sz w:val="18"/>
          <w:szCs w:val="18"/>
          <w:color w:val="auto"/>
        </w:rPr>
        <w:t>by the holders of a majority of our voting rights represented at the meeting in person or by proxy and voting thereon. In the case of an equality of votes, the chairman of the meeting shall not be entitled to a further vote.</w:t>
      </w:r>
    </w:p>
    <w:p>
      <w:pPr>
        <w:spacing w:after="0" w:line="181"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i w:val="1"/>
          <w:iCs w:val="1"/>
          <w:color w:val="auto"/>
        </w:rPr>
        <w:t xml:space="preserve">No discrimination against shareholders. </w:t>
      </w:r>
      <w:r>
        <w:rPr>
          <w:rFonts w:ascii="Arial" w:cs="Arial" w:eastAsia="Arial" w:hAnsi="Arial"/>
          <w:sz w:val="18"/>
          <w:szCs w:val="18"/>
          <w:color w:val="auto"/>
        </w:rPr>
        <w:t>According to our Articles of Association, there are no discriminating provisions against any existing or</w:t>
      </w:r>
      <w:r>
        <w:rPr>
          <w:rFonts w:ascii="Arial" w:cs="Arial" w:eastAsia="Arial" w:hAnsi="Arial"/>
          <w:sz w:val="18"/>
          <w:szCs w:val="18"/>
          <w:i w:val="1"/>
          <w:iCs w:val="1"/>
          <w:color w:val="auto"/>
        </w:rPr>
        <w:t xml:space="preserve"> </w:t>
      </w:r>
      <w:r>
        <w:rPr>
          <w:rFonts w:ascii="Arial" w:cs="Arial" w:eastAsia="Arial" w:hAnsi="Arial"/>
          <w:sz w:val="18"/>
          <w:szCs w:val="18"/>
          <w:color w:val="auto"/>
        </w:rPr>
        <w:t>prospective holders of our shares as a result of a shareholder holding a substantial number of shares.</w:t>
      </w:r>
    </w:p>
    <w:p>
      <w:pPr>
        <w:spacing w:after="0" w:line="17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i w:val="1"/>
          <w:iCs w:val="1"/>
          <w:color w:val="auto"/>
        </w:rPr>
        <w:t xml:space="preserve">Transfer of Shares; record dates. </w:t>
      </w:r>
      <w:r>
        <w:rPr>
          <w:rFonts w:ascii="Arial" w:cs="Arial" w:eastAsia="Arial" w:hAnsi="Arial"/>
          <w:sz w:val="18"/>
          <w:szCs w:val="18"/>
          <w:color w:val="auto"/>
        </w:rPr>
        <w:t>Fully paid up ordinary shares may be freely transferred pursuant to Articles of Association unless such transfer is</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or prohibited by another instrument or securities laws. Each shareholder who would be entitled to attend and vote at a general meeting of shareholders is entitled to receive notice of any such meeting. For purposes of determining the shareholders entitled to notice and to vote at such meeting, the board of directors will fix a record date.</w:t>
      </w:r>
    </w:p>
    <w:p>
      <w:pPr>
        <w:spacing w:after="0" w:line="18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i w:val="1"/>
          <w:iCs w:val="1"/>
          <w:color w:val="auto"/>
        </w:rPr>
        <w:t xml:space="preserve">Modification of Class Rights. </w:t>
      </w:r>
      <w:r>
        <w:rPr>
          <w:rFonts w:ascii="Arial" w:cs="Arial" w:eastAsia="Arial" w:hAnsi="Arial"/>
          <w:sz w:val="18"/>
          <w:szCs w:val="18"/>
          <w:color w:val="auto"/>
        </w:rPr>
        <w:t>If, at any time, the share capital is divided into different classes of shares, the rights attached to any class (unless</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provided by the terms of issuance of the shares of that class) may be varied with the consent in writing of the holders of all the issued shares of that class, or with the sanction of a majority vote at a meeting of the shareholders passed at a separate meeting of the holders of the shares of the class. The provisions of our Articles of Association relating to general meetings shall apply, mutatis mutandis, to every such separate general meeting. Any holder of shares of the class present in person or by proxy may demand a secret poll.</w:t>
      </w:r>
    </w:p>
    <w:p>
      <w:pPr>
        <w:spacing w:after="0" w:line="188"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Unless otherwise provided by the conditions of issuance, the enlargement of an existing class of shares, or the issuance of additional shares thereof, shall not be deemed to modify or abrogate the rights attached to the previously issued shares of such class or of any other class. These conditions provide for the minimum shareholder approvals permitted by the Companies Law.</w:t>
      </w:r>
    </w:p>
    <w:p>
      <w:pPr>
        <w:spacing w:after="0" w:line="181"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i w:val="1"/>
          <w:iCs w:val="1"/>
          <w:color w:val="auto"/>
        </w:rPr>
        <w:t xml:space="preserve">Restrictions on Shareholders Rights to Own Securities. </w:t>
      </w:r>
      <w:r>
        <w:rPr>
          <w:rFonts w:ascii="Arial" w:cs="Arial" w:eastAsia="Arial" w:hAnsi="Arial"/>
          <w:sz w:val="16"/>
          <w:szCs w:val="16"/>
          <w:color w:val="auto"/>
        </w:rPr>
        <w:t>Our Articles of Association and the laws of the State of Israel do not restrict in any way the</w:t>
      </w:r>
      <w:r>
        <w:rPr>
          <w:rFonts w:ascii="Arial" w:cs="Arial" w:eastAsia="Arial" w:hAnsi="Arial"/>
          <w:sz w:val="16"/>
          <w:szCs w:val="16"/>
          <w:i w:val="1"/>
          <w:iCs w:val="1"/>
          <w:color w:val="auto"/>
        </w:rPr>
        <w:t xml:space="preserve"> </w:t>
      </w:r>
      <w:r>
        <w:rPr>
          <w:rFonts w:ascii="Arial" w:cs="Arial" w:eastAsia="Arial" w:hAnsi="Arial"/>
          <w:sz w:val="16"/>
          <w:szCs w:val="16"/>
          <w:color w:val="auto"/>
        </w:rPr>
        <w:t>ownership or voting or our shares by nonresidents of Israel, except with respect to subjects of countries which are in a state of war with Israel.</w:t>
      </w:r>
    </w:p>
    <w:p>
      <w:pPr>
        <w:spacing w:after="0" w:line="124"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i w:val="1"/>
          <w:iCs w:val="1"/>
          <w:color w:val="auto"/>
        </w:rPr>
        <w:t>Election of Directors</w:t>
      </w:r>
      <w:r>
        <w:rPr>
          <w:rFonts w:ascii="Arial" w:cs="Arial" w:eastAsia="Arial" w:hAnsi="Arial"/>
          <w:sz w:val="18"/>
          <w:szCs w:val="18"/>
          <w:color w:val="auto"/>
        </w:rPr>
        <w:t>. Other than external directors, as defined in the Companies Law, for whom special election requirements and terms of office</w:t>
      </w:r>
      <w:r>
        <w:rPr>
          <w:rFonts w:ascii="Arial" w:cs="Arial" w:eastAsia="Arial" w:hAnsi="Arial"/>
          <w:sz w:val="18"/>
          <w:szCs w:val="18"/>
          <w:i w:val="1"/>
          <w:iCs w:val="1"/>
          <w:color w:val="auto"/>
        </w:rPr>
        <w:t xml:space="preserve"> </w:t>
      </w:r>
      <w:r>
        <w:rPr>
          <w:rFonts w:ascii="Arial" w:cs="Arial" w:eastAsia="Arial" w:hAnsi="Arial"/>
          <w:sz w:val="18"/>
          <w:szCs w:val="18"/>
          <w:color w:val="auto"/>
        </w:rPr>
        <w:t>apply under the Companies Law, our directors are each elected at a general meeting of our shareholders and serve for a term of roughly one year. Directors may nevertheless be removed prior to the end of their term by the majority of our shareholders at a general meeting of our shareholders or upon the occurrence of certain events, all in accordance with the Companies Law and our Articles of Association. In addition, our Articles of Association allow our board of directors to appoint directors, other than external directors, to fill vacancies on our board of directors, for a term of office which shall continue until the next annual meeting following his or her appointment.</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9" w:name="page10"/>
    <w:bookmarkEnd w:id="9"/>
    <w:p>
      <w:pPr>
        <w:ind w:right="160" w:firstLine="648"/>
        <w:spacing w:after="0" w:line="308" w:lineRule="auto"/>
        <w:rPr>
          <w:sz w:val="20"/>
          <w:szCs w:val="20"/>
          <w:color w:val="auto"/>
        </w:rPr>
      </w:pPr>
      <w:r>
        <w:rPr>
          <w:rFonts w:ascii="Arial" w:cs="Arial" w:eastAsia="Arial" w:hAnsi="Arial"/>
          <w:sz w:val="17"/>
          <w:szCs w:val="17"/>
          <w:color w:val="auto"/>
        </w:rPr>
        <w:t>External directors are elected for an initial term of three years and may be elected for up to two additional three-year terms (or more) under certain circumstances. External directors may be removed from office only under the limited circumstances set forth in the Companies Law.</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may sell the securities being offered hereby in one or more of the following methods from time to time:</w:t>
      </w:r>
    </w:p>
    <w:p>
      <w:pPr>
        <w:spacing w:after="0" w:line="225" w:lineRule="exact"/>
        <w:rPr>
          <w:sz w:val="20"/>
          <w:szCs w:val="20"/>
          <w:color w:val="auto"/>
        </w:rPr>
      </w:pPr>
    </w:p>
    <w:p>
      <w:pPr>
        <w:ind w:left="980" w:right="10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block trade (which may involve crosses) in which the broker or dealer so engaged will attempt to sell the securities as agent but may position and resell a portion of the block as principal to facilitate the transaction;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purchases by a broker or dealer as principal and resale by such broker or dealer for its own account pursuant to this prospectus;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exchange distributions and/or secondary distributions;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 solicits purchasers;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one or more underwriters for resale to the public or to investors;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“at the market offerings,” within the meaning of Rule 415(a)(4) of the Securities Act, to or through a market maker or into an existing trading market, on an exchange or otherwise;</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transactions not involving market makers or established trading markets, including direct sales or privately negotiated transactions;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through a combination of these methods of sale.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fixed price or prices, which may be changed;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market prices prevailing at the time of sale;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prices related to prevailing market prices;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negotiated prices.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name or names of any agents, dealers or underwriters;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purchase price of the securities being offered and the proceeds we will receive from the sale;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over-allotment options under which underwriters may purchase additional securities from us;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5660" w:hanging="96"/>
        <w:spacing w:after="0"/>
        <w:tabs>
          <w:tab w:leader="none" w:pos="5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81" w:right="299" w:bottom="1440" w:gutter="0" w:footer="0" w:header="0"/>
        </w:sectPr>
      </w:pPr>
    </w:p>
    <w:bookmarkStart w:id="10" w:name="page11"/>
    <w:bookmarkEnd w:id="10"/>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agency fees or underwriting discounts and other items constituting agents’ or underwriters’ compensation;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public offering price;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securities exchanges or markets on which such securities may be listed.</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other than securities covered by any over-allotment option. Any public offering price and any discounts or concessions allowed or reallowed or paid to dealers may change from time to time. We may use underwriters with whom we have a material relationship. We will describe in the prospectus supplement, naming the underwriter, the nature of any such relationship.</w:t>
      </w:r>
    </w:p>
    <w:p>
      <w:pPr>
        <w:spacing w:after="0" w:line="167"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our agent will act on a best-efforts basis for the period of its appointment.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may also sell securities directly to one or more purchasers without using underwriters or agents.</w:t>
      </w:r>
    </w:p>
    <w:p>
      <w:pPr>
        <w:spacing w:after="0" w:line="225"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Underwriters, dealers and agents that participate in the distribution of the securities may be underwriters as defined in the Securities Act and any discounts or commissions they receive from us and any profit on their resale of the securities may be treated as underwriting discounts and commissions under the Securities Act. We will identify in the applicable prospectus supplement any underwriters, dealers or agents and will describe their compensation. We may have agreements with the underwriters, dealers and agents to indemnify them against specified civil liabilities, including liabilities under the Securities Act. Underwriters, dealers and agents may engage in transactions with or perform services for us in the ordinary course of their businesses.</w:t>
      </w:r>
    </w:p>
    <w:p>
      <w:pPr>
        <w:spacing w:after="0" w:line="158"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In connection with an offering, an underwriter may purchase and sell securities in the open market. These transactions may include short sales, stabilizing transactions and purchases to cover positions created by short sales. Short sales involve the sale by the underwriters of a greater number of securities than they are required to purchase in the offering.</w:t>
      </w:r>
    </w:p>
    <w:p>
      <w:pPr>
        <w:spacing w:after="0" w:line="181"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Accordingly, to cover these short sales positions or to otherwise stabilize or maintain the price of the securities, the underwriters may bid for or purchase securities in the open market and may impose penalty bids. If penalty bids are imposed, selling concessions allowed to syndicate members or other broker-dealers participating in the offering are reclaimed if securities previously distributed in the offering are repurchased, whether in connection with stabilization transactions or otherwise. The effect of these transactions may be to stabilize or maintain the market price of the securities at a level above that which might otherwise prevail in the open market. The impositions of a penalty bid may also affect the price of the securities to the extent that it discourages resale of the securities. The magnitude or effect of any stabilization or other transactions is uncertain. These transactions may be effected on The Nasdaq Global Market or otherwise and, if commenced, may be discontinued at any time.</w:t>
      </w:r>
    </w:p>
    <w:p>
      <w:pPr>
        <w:spacing w:after="0" w:line="3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881" w:right="319" w:bottom="1440" w:gutter="0" w:footer="0" w:header="0"/>
        </w:sectPr>
      </w:pPr>
    </w:p>
    <w:bookmarkStart w:id="11" w:name="page12"/>
    <w:bookmarkEnd w:id="11"/>
    <w:p>
      <w:pPr>
        <w:jc w:val="both"/>
        <w:ind w:right="240" w:firstLine="648"/>
        <w:spacing w:after="0" w:line="264" w:lineRule="auto"/>
        <w:rPr>
          <w:sz w:val="20"/>
          <w:szCs w:val="20"/>
          <w:color w:val="auto"/>
        </w:rPr>
      </w:pPr>
      <w:r>
        <w:rPr>
          <w:rFonts w:ascii="Arial" w:cs="Arial" w:eastAsia="Arial" w:hAnsi="Arial"/>
          <w:sz w:val="18"/>
          <w:szCs w:val="18"/>
          <w:color w:val="auto"/>
        </w:rPr>
        <w:t>In compliance with guidelines of the Financial Industry Regulatory Authority, or FINRA, the maximum commission or discount to be received by any FINRA member or independent broker dealer may not exceed 8% of the aggregate amount of the securities offered pursuant to this prospectus and any applicable prospectus supplement.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EXPENSES</w:t>
      </w:r>
    </w:p>
    <w:p>
      <w:pPr>
        <w:spacing w:after="0" w:line="229"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We are paying all of the expenses of the registration of our securities under the Securities Act, including, to the extent applicable, registration and filing fees, printing and duplication expenses, administrative expenses, accounting fees and the legal fees of our counsel. We estimate these expenses to be approximately $30,000 which at the present time include the following categories of expenses: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43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12,880</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436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7,000</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43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w:t>
            </w:r>
          </w:p>
        </w:tc>
      </w:tr>
      <w:tr>
        <w:trPr>
          <w:trHeight w:val="230"/>
        </w:trPr>
        <w:tc>
          <w:tcPr>
            <w:tcW w:w="6120" w:type="dxa"/>
            <w:vAlign w:val="bottom"/>
          </w:tcPr>
          <w:p>
            <w:pPr>
              <w:spacing w:after="0"/>
              <w:rPr>
                <w:sz w:val="20"/>
                <w:szCs w:val="20"/>
                <w:color w:val="auto"/>
              </w:rPr>
            </w:pPr>
            <w:r>
              <w:rPr>
                <w:rFonts w:ascii="Arial" w:cs="Arial" w:eastAsia="Arial" w:hAnsi="Arial"/>
                <w:sz w:val="18"/>
                <w:szCs w:val="18"/>
                <w:color w:val="auto"/>
              </w:rPr>
              <w:t>Miscellaneous expenses</w:t>
            </w:r>
          </w:p>
        </w:tc>
        <w:tc>
          <w:tcPr>
            <w:tcW w:w="436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5,120</w:t>
            </w:r>
          </w:p>
        </w:tc>
      </w:tr>
      <w:tr>
        <w:trPr>
          <w:trHeight w:val="210"/>
        </w:trPr>
        <w:tc>
          <w:tcPr>
            <w:tcW w:w="6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9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30,000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we anticipate incurring additional expenses in the future in connection with the offering of our securities pursuant to this prospectus. Any such additional expenses will be disclosed in a prospectus supplement.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The validity of the ordinary shares offered in this prospectus will be passed upon for us by Zysman, Aharoni, Gayer &amp; Co., Tel Aviv, Israel. Zysman, Aharoni, Gayer and Sullivan &amp; Worcester LLP, New York, New York, is acting as our counsel in connection with United States securities laws.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financial statements, incorporated in this prospectus by reference from the Company's Annual Report on Form 20-F, have been audited by Kost Forer Gabbay &amp; Kasierer, a member of EY Global, an independent registered public accounting firm, as stated in their report, which is incorporated herein by reference. Such financial statements have been so incorporated in reliance upon the reports of such firm given upon their authority as experts in accounting and auditing.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INCORPORATION OF CERTAIN INFORMATION BY REFERENCE</w:t>
      </w:r>
    </w:p>
    <w:p>
      <w:pPr>
        <w:spacing w:after="0" w:line="211"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We are an Israeli company and are a “foreign private issuer” as defined in Rule 3b-4 under the Securities Exchange Act of 1934, as amended, or the Exchange Act. As a result, (1) our proxy solicitations are not subject to the disclosure and procedural requirements of Regulation 14A under the Exchange Act, and (2) transactions in our equity securities by our officers and directors are exempt from Section 16 of the Exchange Act.</w:t>
      </w:r>
    </w:p>
    <w:p>
      <w:pPr>
        <w:spacing w:after="0" w:line="166"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In addition, we are not required to file reports and financial statements with the SEC as frequently or as promptly as U.S. companies whose securities are registered under the Exchange Act. However, we file with the SEC an Annual Report on Form 20-F containing financial statements audited by an independent registered public accounting firm. We also furnish reports on Form 6-K containing unaudited financial information for each calendar quarter and other material information that we are required to make public, that we file with, and that is made public by, any stock exchange on which our shares are traded, or that we distribute, or that is required to be distributed by us, to our shareholders.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2" w:name="page13"/>
    <w:bookmarkEnd w:id="12"/>
    <w:p>
      <w:pPr>
        <w:ind w:right="40" w:firstLine="648"/>
        <w:spacing w:after="0" w:line="257" w:lineRule="auto"/>
        <w:rPr>
          <w:sz w:val="20"/>
          <w:szCs w:val="20"/>
          <w:color w:val="auto"/>
        </w:rPr>
      </w:pPr>
      <w:r>
        <w:rPr>
          <w:rFonts w:ascii="Arial" w:cs="Arial" w:eastAsia="Arial" w:hAnsi="Arial"/>
          <w:sz w:val="18"/>
          <w:szCs w:val="18"/>
          <w:color w:val="auto"/>
        </w:rPr>
        <w:t>You can read and copy any materials we file with the SEC at its Public Reference Room at 100 F Street, N.E., Washington, D.C. 20549. You can obtain information about the operation of the SEC Public Reference Room by calling the SEC at 1-800-SEC-0330. The SEC also maintains a web site that contains information we file electronically with the SEC, which you can access over the Internet at http://www.sec.gov. You may also access the information we file electronically with the SEC through our website at http://www.alcobra-pharma.com. The information contained on, or linked from our website or the SEC’s website does not form part of this prospectus.</w:t>
      </w:r>
    </w:p>
    <w:p>
      <w:pPr>
        <w:spacing w:after="0" w:line="188"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This prospectus is part of a registration statement on Form F-3 filed by us with the SEC under the Securities Act. As permitted by the rules and regulations of the SEC, this prospectus does not contain all the information set forth in the registration statement and the exhibits thereto filed with the SEC. For further information with respect to us and the ordinary shares offered hereby, you should refer to the complete registration statement on Form F-3, which may be obtained from the locations described above. Statements contained in this prospectus or in any prospectus supplement about the contents of any contract or other document are not necessarily complete. If we have filed any contract or other document as an exhibit to the registration statement or any other document incorporated by reference in the registration statement, you should read the exhibit for a more complete understanding of the document or matter involved. Each statement regarding a contract or other document is qualified in its entirety by reference to the actual document.</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documents filed with or furnished to the SEC by our Company are incorporated by reference in this registration statement:</w:t>
      </w:r>
    </w:p>
    <w:p>
      <w:pPr>
        <w:spacing w:after="0" w:line="237"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Company’s Annual Report on Form 20-F for the fiscal year ended December 31, 2013;</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notice of annual general meeting of the Company incorporated by reference into the Company’s report of foreign private issuer on Form 6-K furnished to the SEC on April 22, 2014;</w:t>
      </w:r>
    </w:p>
    <w:p>
      <w:pPr>
        <w:spacing w:after="0" w:line="170" w:lineRule="exact"/>
        <w:rPr>
          <w:rFonts w:ascii="Arial" w:cs="Arial" w:eastAsia="Arial" w:hAnsi="Arial"/>
          <w:sz w:val="18"/>
          <w:szCs w:val="18"/>
          <w:color w:val="auto"/>
        </w:rPr>
      </w:pPr>
    </w:p>
    <w:p>
      <w:pPr>
        <w:ind w:left="980" w:right="36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Company’s GAAP Financial Statements included in the report of foreign private issuer on Form 6-K furnished to the SEC on May 15, 2014;</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Company’s report of foreign private issuer on Form 6-K furnished to the SEC on May 27, 2014; and</w:t>
      </w:r>
    </w:p>
    <w:p>
      <w:pPr>
        <w:spacing w:after="0" w:line="225" w:lineRule="exact"/>
        <w:rPr>
          <w:rFonts w:ascii="Arial" w:cs="Arial" w:eastAsia="Arial" w:hAnsi="Arial"/>
          <w:sz w:val="18"/>
          <w:szCs w:val="18"/>
          <w:color w:val="auto"/>
        </w:rPr>
      </w:pPr>
    </w:p>
    <w:p>
      <w:pPr>
        <w:ind w:left="980" w:right="20" w:hanging="324"/>
        <w:spacing w:after="0" w:line="264"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description of the Company’s Ordinary Shares, par value NIS 0.01 per share contained in the Company’s registration statement on Form 8-A filed pursuant to the Exchange Act on May 17, 2013 (File No. 001-35932), including any amendment or report filed which updates such description.</w:t>
      </w:r>
    </w:p>
    <w:p>
      <w:pPr>
        <w:spacing w:after="0" w:line="181"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All subsequent Annual Reports filed by us pursuant to the Exchange Act on Form 20-F prior to the termination of the offering shall be deemed to be incorporated by reference to this prospectus and to be a part hereof from the date of filing of such documents. We may also incorporate any Form 6-K subsequently submitted by us to the SEC prior to the termination of the offering by identifying in such Forms 6-K that they are being incorporated by reference herein, and any Forms 6-K so identified shall be deemed to be incorporated by reference in this prospectus and to be a part hereof from the date of submission of such documents. Any statement contained in a document incorporated or deemed to be incorporated by reference herein shall be deemed to be modified or superseded for purposes of this prospectus to the extent that a statement contained herein or in any other subsequently filed document which also is incorporated or deemed to be incorporated by reference herein modifies or supersedes such statement. Any such statement so modified or superseded shall not be deemed, except as so modified or superseded, to constitute a part of this prospectus.</w:t>
      </w:r>
    </w:p>
    <w:p>
      <w:pPr>
        <w:spacing w:after="0" w:line="38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881" w:right="319" w:bottom="1440" w:gutter="0" w:footer="0" w:header="0"/>
        </w:sectPr>
      </w:pPr>
    </w:p>
    <w:bookmarkStart w:id="13" w:name="page14"/>
    <w:bookmarkEnd w:id="13"/>
    <w:p>
      <w:pPr>
        <w:ind w:right="960" w:firstLine="648"/>
        <w:spacing w:after="0" w:line="277" w:lineRule="auto"/>
        <w:rPr>
          <w:sz w:val="20"/>
          <w:szCs w:val="20"/>
          <w:color w:val="auto"/>
        </w:rPr>
      </w:pPr>
      <w:r>
        <w:rPr>
          <w:rFonts w:ascii="Arial" w:cs="Arial" w:eastAsia="Arial" w:hAnsi="Arial"/>
          <w:sz w:val="18"/>
          <w:szCs w:val="18"/>
          <w:color w:val="auto"/>
        </w:rPr>
        <w:t>The information we incorporate by reference is an important part of this prospectus, and later information that we file with the SEC will automatically update and supersede the information contained in this prospectus.</w:t>
      </w:r>
    </w:p>
    <w:p>
      <w:pPr>
        <w:spacing w:after="0" w:line="17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will provide you without charge, upon your written or oral request, a copy of any of the documents incorporated by reference in this prospectus, other than exhibits to such documents which are not specifically incorporated by reference into such documents. Please direct your written or telephone requests to us at Alcobra Ltd., Amot Investment Building, 2 Weizman St. 9th Floor, Tel Aviv 6423902, Israel, attention: Dr. Tomer Berkovitz, Chief Financial Officer, telephone number: +972-72-220-4661.</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ENFORCEABILITY OF CIVIL LIABILITIES</w:t>
      </w:r>
    </w:p>
    <w:p>
      <w:pPr>
        <w:spacing w:after="0" w:line="229"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We are incorporated in Israel, almost all of our executive officers and directors and the Israeli experts named herein are nonresidents of the United States, and a substantial portion of our assets and of such persons’ assets are located outside the United States. Service of process upon us and upon our directors and officers and the experts named in his prospectus, may be difficult to obtain within the United States. Furthermore, because substantially all of our assets and substantially all of our directors and officers are located outside the United States, any judgment obtained in the United States against us or any of our directors and officers may not be collectible within the United States.</w:t>
      </w:r>
    </w:p>
    <w:p>
      <w:pPr>
        <w:spacing w:after="0" w:line="173"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We have been informed by our legal counsel in Israel that it may be difficult to assert United States securities law claims in original actions instituted in Israel. Israeli courts may refuse to hear a claim based on a violation of United States securities laws because Israel is not the most appropriate forum to bring such a claim. In addition, even if an Israeli court agrees to hear a claim, it may determine that Israeli law and not U.S. law is applicable to the claim. If United States law is found to be applicable, the content of applicable U.S. law must be proved as a fact, which can be a time-consuming and costly process. Certain matters of procedure will also be governed by Israeli law. There is little binding case law in Israel addressing these matters.</w:t>
      </w:r>
    </w:p>
    <w:p>
      <w:pPr>
        <w:spacing w:after="0" w:line="158"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Subject to specified time limitations and legal procedures, under the rules of private international law currently prevailing in Israel, Israeli courts may enforce a final U.S. judgment in a civil matter, including judgments based upon the civil liability provisions of the U.S. securities laws and including a monetary or compensatory judgment in a non-civil matter, provided that:</w:t>
      </w:r>
    </w:p>
    <w:p>
      <w:pPr>
        <w:spacing w:after="0" w:line="181"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judgment is enforceable in the state in which it was given;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adequate service of process has been effected and the defendant has had a reasonable opportunity to present his arguments and evidence;</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judgment and the enforcement of the judgment are not contrary to the law, public policy, security or sovereignty of the state of Israel;</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judgment was not obtained by fraud and does not conflict with any other valid judgment in the same matter between the same parties; and</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an action between the same parties in the same matter is not pending in any Israeli court at the time the lawsuit is instituted in the foreign court.</w:t>
      </w:r>
    </w:p>
    <w:p>
      <w:pPr>
        <w:spacing w:after="0" w:line="24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have irrevocably appointed our subsidiary, Alcobra Inc., as our agent to receive service of process in any action against us in the state and federal courts sitting in the City of New York, Borough of Manhattan arising out of any offering under this registration statement of which this prospectus forms a part, or any purchase or sale of securities in connection therewith. We have not given consent for this agent to accept service of process in connection with any other claim.</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14" w:name="page15"/>
    <w:bookmarkEnd w:id="14"/>
    <w:p>
      <w:pPr>
        <w:jc w:val="center"/>
        <w:ind w:left="66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Indemnification of Directors and Officers</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Under the Companies Law, a company may indemnify, or undertake in advance to indemnify, an office holder (defined as a director, chief executive officer, deputy chief executive officer or other officer reporting to the chief executive officer of the company) for the following liabilities and expenses, imposed on an office holder or incurred by an office holder due to acts performed by him or her as an office holder, provided its articles of association include a provision authorizing such indemnification:</w:t>
      </w:r>
    </w:p>
    <w:p>
      <w:pPr>
        <w:spacing w:after="0" w:line="187" w:lineRule="exact"/>
        <w:rPr>
          <w:sz w:val="20"/>
          <w:szCs w:val="20"/>
          <w:color w:val="auto"/>
        </w:rPr>
      </w:pPr>
    </w:p>
    <w:p>
      <w:pPr>
        <w:ind w:left="700" w:right="60" w:hanging="327"/>
        <w:spacing w:after="0" w:line="276" w:lineRule="auto"/>
        <w:tabs>
          <w:tab w:leader="none" w:pos="700" w:val="left"/>
        </w:tabs>
        <w:numPr>
          <w:ilvl w:val="0"/>
          <w:numId w:val="9"/>
        </w:numPr>
        <w:rPr>
          <w:rFonts w:ascii="Arial" w:cs="Arial" w:eastAsia="Arial" w:hAnsi="Arial"/>
          <w:sz w:val="17"/>
          <w:szCs w:val="17"/>
          <w:color w:val="auto"/>
        </w:rPr>
      </w:pPr>
      <w:r>
        <w:rPr>
          <w:rFonts w:ascii="Arial" w:cs="Arial" w:eastAsia="Arial" w:hAnsi="Arial"/>
          <w:sz w:val="17"/>
          <w:szCs w:val="17"/>
          <w:color w:val="auto"/>
        </w:rPr>
        <w:t>financial liability incurred by or imposed on him or her in favor of another person pursuant to a judgment, including a settlement or arbitrator's award approved by a court. However, if an undertaking to indemnify an office holder with respect to such liability is provided in advance, then such an undertaking must be limited to events which, in the opinion of the board of directors, can be foreseen based on the company's activities when the undertaking to indemnify is given, and to an amount or according to criteria determined by the board of directors as reasonable under the circumstances, and such undertaking shall detail the abovementioned foreseen events and amount or criteria;</w:t>
      </w:r>
    </w:p>
    <w:p>
      <w:pPr>
        <w:spacing w:after="0" w:line="172" w:lineRule="exact"/>
        <w:rPr>
          <w:rFonts w:ascii="Arial" w:cs="Arial" w:eastAsia="Arial" w:hAnsi="Arial"/>
          <w:sz w:val="17"/>
          <w:szCs w:val="17"/>
          <w:color w:val="auto"/>
        </w:rPr>
      </w:pPr>
    </w:p>
    <w:p>
      <w:pPr>
        <w:ind w:left="700" w:right="120" w:hanging="327"/>
        <w:spacing w:after="0" w:line="257" w:lineRule="auto"/>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reasonable litigation expenses, including attorneys' fees, incurred by the office holder as a result of an investigation or proceeding instituted against him or her by an authority authorized to conduct such investigation or proceeding, provided that (i) no indictment was filed against such office holder as a result of such investigation or proceeding; and (ii) no financial liability was imposed upon him or her as a substitute for the criminal proceeding as a result of such investigation or proceeding or, if such financial liability was imposed, it was imposed with respect to an offense that does not require proof of criminal intent or as a monetary sanction; and</w:t>
      </w:r>
    </w:p>
    <w:p>
      <w:pPr>
        <w:spacing w:after="0" w:line="188" w:lineRule="exact"/>
        <w:rPr>
          <w:rFonts w:ascii="Arial" w:cs="Arial" w:eastAsia="Arial" w:hAnsi="Arial"/>
          <w:sz w:val="18"/>
          <w:szCs w:val="18"/>
          <w:color w:val="auto"/>
        </w:rPr>
      </w:pPr>
    </w:p>
    <w:p>
      <w:pPr>
        <w:ind w:left="700" w:right="80" w:hanging="327"/>
        <w:spacing w:after="0" w:line="264" w:lineRule="auto"/>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reasonable litigation expenses, including attorneys' fees, incurred by the office holder or imposed by a court in proceedings instituted against him or her by the company, on its behalf, or by a third party, or in connection with criminal proceedings in which the office holder was acquitted, or as a result of a conviction for an offense that does not require proof of criminal intent.</w:t>
      </w:r>
    </w:p>
    <w:p>
      <w:pPr>
        <w:spacing w:after="0" w:line="18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Under the Companies Law, a company may insure an office holder against the following liabilities incurred for acts performed by him or her as an office holder if and to the extent provided in the company's articles of association:</w:t>
      </w:r>
    </w:p>
    <w:p>
      <w:pPr>
        <w:spacing w:after="0" w:line="170" w:lineRule="exact"/>
        <w:rPr>
          <w:sz w:val="20"/>
          <w:szCs w:val="20"/>
          <w:color w:val="auto"/>
        </w:rPr>
      </w:pPr>
    </w:p>
    <w:p>
      <w:pPr>
        <w:ind w:left="98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breach of the duty of loyalty to the company, provided that the office holder acted in good faith and had a reasonable basis to believe that the act would not harm the company;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breach of duty of care to the company or to a third party;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financial liability imposed on the office holder in favor of a third party.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Nevertheless, under the Companies Law, a company may not indemnify, exculpate or insure an office holder against any of the following:</w:t>
      </w:r>
    </w:p>
    <w:p>
      <w:pPr>
        <w:spacing w:after="0" w:line="237" w:lineRule="exact"/>
        <w:rPr>
          <w:sz w:val="20"/>
          <w:szCs w:val="20"/>
          <w:color w:val="auto"/>
        </w:rPr>
      </w:pPr>
    </w:p>
    <w:p>
      <w:pPr>
        <w:ind w:left="980" w:right="2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breach of fiduciary duty, except for indemnification and insurance for a breach of the duty of loyalty to the company in the event office holder acted in good faith and had a reasonable basis to believe that the act would not prejudice the company;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 breach of duty of care committed intentionally or recklessly, excluding a breach arising out of the negligent conduct of the office holder;</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5" w:name="page16"/>
    <w:bookmarkEnd w:id="15"/>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act or omission committed with intent to derive unlawful personal benefit;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fine, monetary sanction, penalty or forfeit levied against the office holder.</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Under the Companies Law, exculpation, indemnification and insurance of office holders require the approval of the compensation committee, board of directors and, in certain circumstances, the shareholders.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Company’s Articles of Association permit the Company to exculpate, indemnify and insure its office holders to the fullest extent permitted by the Companies Law.</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has obtained directors' and officers' liability insurance for the benefit of its office holders and intends to continue to maintain such coverage and pay all premiums thereunder to the fullest extent permitted by the Companies Law. In addition, the Company has entered into agreements with each of its office holders undertaking to indemnify them to the fullest extent permitted by Israeli law, including with respect to liabilities resulting from this offering to the extent that these liabilities are not covered by insurance.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60" w:type="dxa"/>
            <w:vAlign w:val="bottom"/>
          </w:tcPr>
          <w:p>
            <w:pPr>
              <w:spacing w:after="0"/>
              <w:rPr>
                <w:sz w:val="20"/>
                <w:szCs w:val="20"/>
                <w:color w:val="auto"/>
              </w:rPr>
            </w:pPr>
            <w:r>
              <w:rPr>
                <w:rFonts w:ascii="Arial" w:cs="Arial" w:eastAsia="Arial" w:hAnsi="Arial"/>
                <w:sz w:val="18"/>
                <w:szCs w:val="18"/>
                <w:b w:val="1"/>
                <w:bCs w:val="1"/>
                <w:color w:val="auto"/>
              </w:rPr>
              <w:t>Item 9. Exhibits</w:t>
            </w:r>
          </w:p>
        </w:tc>
        <w:tc>
          <w:tcPr>
            <w:tcW w:w="9320" w:type="dxa"/>
            <w:vAlign w:val="bottom"/>
          </w:tcPr>
          <w:p>
            <w:pPr>
              <w:spacing w:after="0"/>
              <w:rPr>
                <w:sz w:val="20"/>
                <w:szCs w:val="20"/>
                <w:color w:val="auto"/>
              </w:rPr>
            </w:pPr>
          </w:p>
        </w:tc>
      </w:tr>
      <w:tr>
        <w:trPr>
          <w:trHeight w:val="432"/>
        </w:trPr>
        <w:tc>
          <w:tcPr>
            <w:tcW w:w="1460" w:type="dxa"/>
            <w:vAlign w:val="bottom"/>
          </w:tcPr>
          <w:p>
            <w:pPr>
              <w:spacing w:after="0"/>
              <w:rPr>
                <w:sz w:val="20"/>
                <w:szCs w:val="20"/>
                <w:color w:val="auto"/>
              </w:rPr>
            </w:pPr>
            <w:r>
              <w:rPr>
                <w:rFonts w:ascii="Arial" w:cs="Arial" w:eastAsia="Arial" w:hAnsi="Arial"/>
                <w:sz w:val="18"/>
                <w:szCs w:val="18"/>
                <w:b w:val="1"/>
                <w:bCs w:val="1"/>
                <w:color w:val="auto"/>
              </w:rPr>
              <w:t>Exhibit Number</w:t>
            </w:r>
          </w:p>
        </w:tc>
        <w:tc>
          <w:tcPr>
            <w:tcW w:w="9320" w:type="dxa"/>
            <w:vAlign w:val="bottom"/>
          </w:tcPr>
          <w:p>
            <w:pPr>
              <w:ind w:left="160"/>
              <w:spacing w:after="0"/>
              <w:rPr>
                <w:sz w:val="20"/>
                <w:szCs w:val="20"/>
                <w:color w:val="auto"/>
              </w:rPr>
            </w:pPr>
            <w:r>
              <w:rPr>
                <w:rFonts w:ascii="Arial" w:cs="Arial" w:eastAsia="Arial" w:hAnsi="Arial"/>
                <w:sz w:val="18"/>
                <w:szCs w:val="18"/>
                <w:b w:val="1"/>
                <w:bCs w:val="1"/>
                <w:color w:val="auto"/>
              </w:rPr>
              <w:t>Description</w:t>
            </w:r>
          </w:p>
        </w:tc>
      </w:tr>
      <w:tr>
        <w:trPr>
          <w:trHeight w:val="432"/>
        </w:trPr>
        <w:tc>
          <w:tcPr>
            <w:tcW w:w="1460" w:type="dxa"/>
            <w:vAlign w:val="bottom"/>
          </w:tcPr>
          <w:p>
            <w:pPr>
              <w:spacing w:after="0"/>
              <w:rPr>
                <w:sz w:val="20"/>
                <w:szCs w:val="20"/>
                <w:color w:val="auto"/>
              </w:rPr>
            </w:pPr>
            <w:r>
              <w:rPr>
                <w:rFonts w:ascii="Arial" w:cs="Arial" w:eastAsia="Arial" w:hAnsi="Arial"/>
                <w:sz w:val="18"/>
                <w:szCs w:val="18"/>
                <w:color w:val="auto"/>
              </w:rPr>
              <w:t>1.1*</w:t>
            </w:r>
          </w:p>
        </w:tc>
        <w:tc>
          <w:tcPr>
            <w:tcW w:w="9320" w:type="dxa"/>
            <w:vAlign w:val="bottom"/>
          </w:tcPr>
          <w:p>
            <w:pPr>
              <w:ind w:left="160"/>
              <w:spacing w:after="0"/>
              <w:rPr>
                <w:sz w:val="20"/>
                <w:szCs w:val="20"/>
                <w:color w:val="auto"/>
              </w:rPr>
            </w:pPr>
            <w:r>
              <w:rPr>
                <w:rFonts w:ascii="Arial" w:cs="Arial" w:eastAsia="Arial" w:hAnsi="Arial"/>
                <w:sz w:val="18"/>
                <w:szCs w:val="18"/>
                <w:color w:val="auto"/>
              </w:rPr>
              <w:t>Form of underwriting agreement.</w:t>
            </w:r>
          </w:p>
        </w:tc>
      </w:tr>
      <w:tr>
        <w:trPr>
          <w:trHeight w:val="418"/>
        </w:trPr>
        <w:tc>
          <w:tcPr>
            <w:tcW w:w="1460" w:type="dxa"/>
            <w:vAlign w:val="bottom"/>
          </w:tcPr>
          <w:p>
            <w:pPr>
              <w:spacing w:after="0"/>
              <w:rPr>
                <w:sz w:val="20"/>
                <w:szCs w:val="20"/>
                <w:color w:val="auto"/>
              </w:rPr>
            </w:pPr>
            <w:r>
              <w:rPr>
                <w:rFonts w:ascii="Arial" w:cs="Arial" w:eastAsia="Arial" w:hAnsi="Arial"/>
                <w:sz w:val="18"/>
                <w:szCs w:val="18"/>
                <w:color w:val="auto"/>
              </w:rPr>
              <w:t>4.1</w:t>
            </w:r>
          </w:p>
        </w:tc>
        <w:tc>
          <w:tcPr>
            <w:tcW w:w="9320" w:type="dxa"/>
            <w:vAlign w:val="bottom"/>
          </w:tcPr>
          <w:p>
            <w:pPr>
              <w:ind w:left="160"/>
              <w:spacing w:after="0"/>
              <w:rPr>
                <w:sz w:val="20"/>
                <w:szCs w:val="20"/>
                <w:color w:val="auto"/>
              </w:rPr>
            </w:pPr>
            <w:r>
              <w:rPr>
                <w:rFonts w:ascii="Arial" w:cs="Arial" w:eastAsia="Arial" w:hAnsi="Arial"/>
                <w:sz w:val="18"/>
                <w:szCs w:val="18"/>
                <w:color w:val="auto"/>
                <w:w w:val="92"/>
              </w:rPr>
              <w:t>Articles of Association of the Company, filed as Exhibit 3.2 to Form F-1/A filed on March 19, 2013 (File No. 333-186003) and</w:t>
            </w:r>
          </w:p>
        </w:tc>
      </w:tr>
      <w:tr>
        <w:trPr>
          <w:trHeight w:val="230"/>
        </w:trPr>
        <w:tc>
          <w:tcPr>
            <w:tcW w:w="1460" w:type="dxa"/>
            <w:vAlign w:val="bottom"/>
          </w:tcPr>
          <w:p>
            <w:pPr>
              <w:spacing w:after="0"/>
              <w:rPr>
                <w:sz w:val="20"/>
                <w:szCs w:val="20"/>
                <w:color w:val="auto"/>
              </w:rPr>
            </w:pPr>
          </w:p>
        </w:tc>
        <w:tc>
          <w:tcPr>
            <w:tcW w:w="9320" w:type="dxa"/>
            <w:vAlign w:val="bottom"/>
          </w:tcPr>
          <w:p>
            <w:pPr>
              <w:ind w:left="160"/>
              <w:spacing w:after="0"/>
              <w:rPr>
                <w:sz w:val="20"/>
                <w:szCs w:val="20"/>
                <w:color w:val="auto"/>
              </w:rPr>
            </w:pPr>
            <w:r>
              <w:rPr>
                <w:rFonts w:ascii="Arial" w:cs="Arial" w:eastAsia="Arial" w:hAnsi="Arial"/>
                <w:sz w:val="18"/>
                <w:szCs w:val="18"/>
                <w:color w:val="auto"/>
              </w:rPr>
              <w:t>incorporated herein by reference.</w:t>
            </w:r>
          </w:p>
        </w:tc>
      </w:tr>
      <w:tr>
        <w:trPr>
          <w:trHeight w:val="432"/>
        </w:trPr>
        <w:tc>
          <w:tcPr>
            <w:tcW w:w="1460" w:type="dxa"/>
            <w:vAlign w:val="bottom"/>
          </w:tcPr>
          <w:p>
            <w:pPr>
              <w:spacing w:after="0"/>
              <w:rPr>
                <w:sz w:val="20"/>
                <w:szCs w:val="20"/>
                <w:color w:val="auto"/>
              </w:rPr>
            </w:pPr>
            <w:r>
              <w:rPr>
                <w:rFonts w:ascii="Arial" w:cs="Arial" w:eastAsia="Arial" w:hAnsi="Arial"/>
                <w:sz w:val="18"/>
                <w:szCs w:val="18"/>
                <w:color w:val="auto"/>
              </w:rPr>
              <w:t>5.1**</w:t>
            </w:r>
          </w:p>
        </w:tc>
        <w:tc>
          <w:tcPr>
            <w:tcW w:w="9320" w:type="dxa"/>
            <w:vAlign w:val="bottom"/>
          </w:tcPr>
          <w:p>
            <w:pPr>
              <w:ind w:left="160"/>
              <w:spacing w:after="0"/>
              <w:rPr>
                <w:sz w:val="20"/>
                <w:szCs w:val="20"/>
                <w:color w:val="auto"/>
              </w:rPr>
            </w:pPr>
            <w:r>
              <w:rPr>
                <w:rFonts w:ascii="Arial" w:cs="Arial" w:eastAsia="Arial" w:hAnsi="Arial"/>
                <w:sz w:val="18"/>
                <w:szCs w:val="18"/>
                <w:color w:val="auto"/>
              </w:rPr>
              <w:t>Opinion of Zysman, Aharoni, Gayer &amp; Co.</w:t>
            </w:r>
          </w:p>
        </w:tc>
      </w:tr>
      <w:tr>
        <w:trPr>
          <w:trHeight w:val="432"/>
        </w:trPr>
        <w:tc>
          <w:tcPr>
            <w:tcW w:w="1460" w:type="dxa"/>
            <w:vAlign w:val="bottom"/>
          </w:tcPr>
          <w:p>
            <w:pPr>
              <w:spacing w:after="0"/>
              <w:rPr>
                <w:sz w:val="20"/>
                <w:szCs w:val="20"/>
                <w:color w:val="auto"/>
              </w:rPr>
            </w:pPr>
            <w:r>
              <w:rPr>
                <w:rFonts w:ascii="Arial" w:cs="Arial" w:eastAsia="Arial" w:hAnsi="Arial"/>
                <w:sz w:val="18"/>
                <w:szCs w:val="18"/>
                <w:color w:val="auto"/>
              </w:rPr>
              <w:t>23.1**</w:t>
            </w:r>
          </w:p>
        </w:tc>
        <w:tc>
          <w:tcPr>
            <w:tcW w:w="9320" w:type="dxa"/>
            <w:vAlign w:val="bottom"/>
          </w:tcPr>
          <w:p>
            <w:pPr>
              <w:ind w:left="160"/>
              <w:spacing w:after="0"/>
              <w:rPr>
                <w:sz w:val="20"/>
                <w:szCs w:val="20"/>
                <w:color w:val="auto"/>
              </w:rPr>
            </w:pPr>
            <w:r>
              <w:rPr>
                <w:rFonts w:ascii="Arial" w:cs="Arial" w:eastAsia="Arial" w:hAnsi="Arial"/>
                <w:sz w:val="18"/>
                <w:szCs w:val="18"/>
                <w:color w:val="auto"/>
              </w:rPr>
              <w:t>Consent of Kost Forer Gabbay &amp; Kasierer, a member of EY Global, independent registered public accounting firm.</w:t>
            </w:r>
          </w:p>
        </w:tc>
      </w:tr>
      <w:tr>
        <w:trPr>
          <w:trHeight w:val="432"/>
        </w:trPr>
        <w:tc>
          <w:tcPr>
            <w:tcW w:w="1460" w:type="dxa"/>
            <w:vAlign w:val="bottom"/>
          </w:tcPr>
          <w:p>
            <w:pPr>
              <w:spacing w:after="0"/>
              <w:rPr>
                <w:sz w:val="20"/>
                <w:szCs w:val="20"/>
                <w:color w:val="auto"/>
              </w:rPr>
            </w:pPr>
            <w:r>
              <w:rPr>
                <w:rFonts w:ascii="Arial" w:cs="Arial" w:eastAsia="Arial" w:hAnsi="Arial"/>
                <w:sz w:val="18"/>
                <w:szCs w:val="18"/>
                <w:color w:val="auto"/>
              </w:rPr>
              <w:t>23.2 **</w:t>
            </w:r>
          </w:p>
        </w:tc>
        <w:tc>
          <w:tcPr>
            <w:tcW w:w="9320" w:type="dxa"/>
            <w:vAlign w:val="bottom"/>
          </w:tcPr>
          <w:p>
            <w:pPr>
              <w:ind w:left="160"/>
              <w:spacing w:after="0"/>
              <w:rPr>
                <w:sz w:val="20"/>
                <w:szCs w:val="20"/>
                <w:color w:val="auto"/>
              </w:rPr>
            </w:pPr>
            <w:r>
              <w:rPr>
                <w:rFonts w:ascii="Arial" w:cs="Arial" w:eastAsia="Arial" w:hAnsi="Arial"/>
                <w:sz w:val="18"/>
                <w:szCs w:val="18"/>
                <w:color w:val="auto"/>
              </w:rPr>
              <w:t>Consent of Zysman, Aharoni, Gayer &amp; Co. (included in Exhibit 5.1).</w:t>
            </w:r>
          </w:p>
        </w:tc>
      </w:tr>
      <w:tr>
        <w:trPr>
          <w:trHeight w:val="432"/>
        </w:trPr>
        <w:tc>
          <w:tcPr>
            <w:tcW w:w="1460" w:type="dxa"/>
            <w:vAlign w:val="bottom"/>
          </w:tcPr>
          <w:p>
            <w:pPr>
              <w:spacing w:after="0"/>
              <w:rPr>
                <w:sz w:val="20"/>
                <w:szCs w:val="20"/>
                <w:color w:val="auto"/>
              </w:rPr>
            </w:pPr>
            <w:r>
              <w:rPr>
                <w:rFonts w:ascii="Arial" w:cs="Arial" w:eastAsia="Arial" w:hAnsi="Arial"/>
                <w:sz w:val="18"/>
                <w:szCs w:val="18"/>
                <w:color w:val="auto"/>
              </w:rPr>
              <w:t>24</w:t>
            </w:r>
          </w:p>
        </w:tc>
        <w:tc>
          <w:tcPr>
            <w:tcW w:w="9320" w:type="dxa"/>
            <w:vAlign w:val="bottom"/>
          </w:tcPr>
          <w:p>
            <w:pPr>
              <w:ind w:left="160"/>
              <w:spacing w:after="0"/>
              <w:rPr>
                <w:sz w:val="20"/>
                <w:szCs w:val="20"/>
                <w:color w:val="auto"/>
              </w:rPr>
            </w:pPr>
            <w:r>
              <w:rPr>
                <w:rFonts w:ascii="Arial" w:cs="Arial" w:eastAsia="Arial" w:hAnsi="Arial"/>
                <w:sz w:val="18"/>
                <w:szCs w:val="18"/>
                <w:color w:val="auto"/>
              </w:rPr>
              <w:t>Power of Attorney (included in the signature page of this registration statement).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4490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right="180" w:firstLine="8"/>
        <w:spacing w:after="0" w:line="498" w:lineRule="auto"/>
        <w:tabs>
          <w:tab w:leader="none" w:pos="1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be filed, if applicable, by post-effective amendment or incorporated by reference in connection with the offering of any ordinary shares, as appropriate. ** Filed herewith.</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Undertakings</w:t>
      </w:r>
    </w:p>
    <w:p>
      <w:pPr>
        <w:spacing w:after="0" w:line="229" w:lineRule="exact"/>
        <w:rPr>
          <w:sz w:val="20"/>
          <w:szCs w:val="20"/>
          <w:color w:val="auto"/>
        </w:rPr>
      </w:pPr>
    </w:p>
    <w:p>
      <w:pPr>
        <w:ind w:left="780" w:hanging="772"/>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1460" w:hanging="804"/>
        <w:spacing w:after="0"/>
        <w:tabs>
          <w:tab w:leader="none" w:pos="14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880" w:hanging="575"/>
        <w:spacing w:after="0"/>
        <w:tabs>
          <w:tab w:leader="none" w:pos="1880" w:val="left"/>
        </w:tabs>
        <w:numPr>
          <w:ilvl w:val="2"/>
          <w:numId w:val="1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6" w:name="page17"/>
    <w:bookmarkEnd w:id="16"/>
    <w:p>
      <w:pPr>
        <w:ind w:left="660" w:right="120" w:firstLine="645"/>
        <w:spacing w:after="0" w:line="293" w:lineRule="auto"/>
        <w:tabs>
          <w:tab w:leader="none" w:pos="1885" w:val="left"/>
        </w:tabs>
        <w:numPr>
          <w:ilvl w:val="1"/>
          <w:numId w:val="15"/>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164" w:lineRule="exact"/>
        <w:rPr>
          <w:rFonts w:ascii="Arial" w:cs="Arial" w:eastAsia="Arial" w:hAnsi="Arial"/>
          <w:sz w:val="16"/>
          <w:szCs w:val="16"/>
          <w:color w:val="auto"/>
        </w:rPr>
      </w:pPr>
    </w:p>
    <w:p>
      <w:pPr>
        <w:ind w:left="660" w:firstLine="645"/>
        <w:spacing w:after="0" w:line="297" w:lineRule="auto"/>
        <w:tabs>
          <w:tab w:leader="none" w:pos="1935" w:val="left"/>
        </w:tabs>
        <w:numPr>
          <w:ilvl w:val="1"/>
          <w:numId w:val="15"/>
        </w:numPr>
        <w:rPr>
          <w:rFonts w:ascii="Arial" w:cs="Arial" w:eastAsia="Arial" w:hAnsi="Arial"/>
          <w:sz w:val="16"/>
          <w:szCs w:val="16"/>
          <w:color w:val="auto"/>
        </w:rPr>
      </w:pPr>
      <w:r>
        <w:rPr>
          <w:rFonts w:ascii="Arial" w:cs="Arial" w:eastAsia="Arial" w:hAnsi="Arial"/>
          <w:sz w:val="16"/>
          <w:szCs w:val="16"/>
          <w:color w:val="auto"/>
        </w:rPr>
        <w:t>To include any material information with respect to the plan of distribution not previously disclosed in the registration statement or any material change to such information in the registration statement; provided, however, that paragraphs (a)(1)(i), (a)(1)(ii) and (a)(1)(iii) of this section do not apply if the information required to be included in a post-effective amendment by those paragraphs is contained in reports filed with or furnished to the SEC by the registrant pursuant to section 13 or section 15(d) of the Securities Exchange Act that are incorporated by reference in the registration statement, or is contained in a form of prospectus filed pursuant to Rule 424(b) that is part of the registration statement.</w:t>
      </w:r>
    </w:p>
    <w:p>
      <w:pPr>
        <w:spacing w:after="0" w:line="158" w:lineRule="exact"/>
        <w:rPr>
          <w:rFonts w:ascii="Arial" w:cs="Arial" w:eastAsia="Arial" w:hAnsi="Arial"/>
          <w:sz w:val="16"/>
          <w:szCs w:val="16"/>
          <w:color w:val="auto"/>
        </w:rPr>
      </w:pPr>
    </w:p>
    <w:p>
      <w:pPr>
        <w:jc w:val="both"/>
        <w:ind w:right="200" w:firstLine="656"/>
        <w:spacing w:after="0" w:line="264" w:lineRule="auto"/>
        <w:tabs>
          <w:tab w:leader="none" w:pos="1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1" w:lineRule="exact"/>
        <w:rPr>
          <w:rFonts w:ascii="Arial" w:cs="Arial" w:eastAsia="Arial" w:hAnsi="Arial"/>
          <w:sz w:val="18"/>
          <w:szCs w:val="18"/>
          <w:color w:val="auto"/>
        </w:rPr>
      </w:pPr>
    </w:p>
    <w:p>
      <w:pPr>
        <w:ind w:right="300" w:firstLine="656"/>
        <w:spacing w:after="0" w:line="277" w:lineRule="auto"/>
        <w:tabs>
          <w:tab w:leader="none" w:pos="1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right="80" w:firstLine="656"/>
        <w:spacing w:after="0" w:line="257" w:lineRule="auto"/>
        <w:tabs>
          <w:tab w:leader="none" w:pos="1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file a post-effective amendment to the registration statement to include any financial statements required by Item 8.A. of Form 20-F at the start of any delayed offering or throughout a continuous offering; provided, however, that a post-effective amendment need not be filed to include financial statements and information required by Section 10(a)(3) of the Act or Rule 3-19 if such financial statements and information are contained in periodic reports filed with or furnished to the SEC by the registrant pursuant to section 13 or section 15(d) of the Securities Exchange Act that are incorporated by reference in this registration statement.</w:t>
      </w:r>
    </w:p>
    <w:p>
      <w:pPr>
        <w:spacing w:after="0" w:line="188" w:lineRule="exact"/>
        <w:rPr>
          <w:rFonts w:ascii="Arial" w:cs="Arial" w:eastAsia="Arial" w:hAnsi="Arial"/>
          <w:sz w:val="18"/>
          <w:szCs w:val="18"/>
          <w:color w:val="auto"/>
        </w:rPr>
      </w:pPr>
    </w:p>
    <w:p>
      <w:pPr>
        <w:ind w:left="1440" w:hanging="784"/>
        <w:spacing w:after="0"/>
        <w:tabs>
          <w:tab w:leader="none" w:pos="1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225" w:lineRule="exact"/>
        <w:rPr>
          <w:rFonts w:ascii="Arial" w:cs="Arial" w:eastAsia="Arial" w:hAnsi="Arial"/>
          <w:sz w:val="18"/>
          <w:szCs w:val="18"/>
          <w:color w:val="auto"/>
        </w:rPr>
      </w:pPr>
    </w:p>
    <w:p>
      <w:pPr>
        <w:ind w:left="1740" w:hanging="435"/>
        <w:spacing w:after="0"/>
        <w:tabs>
          <w:tab w:leader="none" w:pos="17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If the registrant is relying on Rule 430B:</w:t>
      </w:r>
    </w:p>
    <w:p>
      <w:pPr>
        <w:spacing w:after="0" w:line="225" w:lineRule="exact"/>
        <w:rPr>
          <w:rFonts w:ascii="Arial" w:cs="Arial" w:eastAsia="Arial" w:hAnsi="Arial"/>
          <w:sz w:val="18"/>
          <w:szCs w:val="18"/>
          <w:color w:val="auto"/>
        </w:rPr>
      </w:pPr>
    </w:p>
    <w:p>
      <w:pPr>
        <w:ind w:left="1300" w:right="20" w:firstLine="653"/>
        <w:spacing w:after="0" w:line="277" w:lineRule="auto"/>
        <w:tabs>
          <w:tab w:leader="none" w:pos="2468" w:val="left"/>
        </w:tabs>
        <w:numPr>
          <w:ilvl w:val="2"/>
          <w:numId w:val="16"/>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70" w:lineRule="exact"/>
        <w:rPr>
          <w:rFonts w:ascii="Arial" w:cs="Arial" w:eastAsia="Arial" w:hAnsi="Arial"/>
          <w:sz w:val="18"/>
          <w:szCs w:val="18"/>
          <w:color w:val="auto"/>
        </w:rPr>
      </w:pPr>
    </w:p>
    <w:p>
      <w:pPr>
        <w:ind w:left="1300" w:right="20" w:firstLine="653"/>
        <w:spacing w:after="0" w:line="269" w:lineRule="auto"/>
        <w:tabs>
          <w:tab w:leader="none" w:pos="2458" w:val="left"/>
        </w:tabs>
        <w:numPr>
          <w:ilvl w:val="2"/>
          <w:numId w:val="16"/>
        </w:numPr>
        <w:rPr>
          <w:rFonts w:ascii="Arial" w:cs="Arial" w:eastAsia="Arial" w:hAnsi="Arial"/>
          <w:sz w:val="17"/>
          <w:szCs w:val="17"/>
          <w:color w:val="auto"/>
        </w:rPr>
      </w:pPr>
      <w:r>
        <w:rPr>
          <w:rFonts w:ascii="Arial" w:cs="Arial" w:eastAsia="Arial" w:hAnsi="Arial"/>
          <w:sz w:val="17"/>
          <w:szCs w:val="17"/>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offering thereof.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however </w:t>
      </w:r>
      <w:r>
        <w:rPr>
          <w:rFonts w:ascii="Arial" w:cs="Arial" w:eastAsia="Arial" w:hAnsi="Arial"/>
          <w:sz w:val="17"/>
          <w:szCs w:val="17"/>
          <w:color w:val="auto"/>
        </w:rPr>
        <w:t>, that no statement made in a registration statement or prospectus that is part of the registration statement or made in a document</w:t>
      </w:r>
      <w:r>
        <w:rPr>
          <w:rFonts w:ascii="Arial" w:cs="Arial" w:eastAsia="Arial" w:hAnsi="Arial"/>
          <w:sz w:val="17"/>
          <w:szCs w:val="17"/>
          <w:i w:val="1"/>
          <w:iCs w:val="1"/>
          <w:color w:val="auto"/>
        </w:rPr>
        <w:t xml:space="preserve"> </w:t>
      </w:r>
      <w:r>
        <w:rPr>
          <w:rFonts w:ascii="Arial" w:cs="Arial" w:eastAsia="Arial" w:hAnsi="Arial"/>
          <w:sz w:val="17"/>
          <w:szCs w:val="17"/>
          <w:color w:val="auto"/>
        </w:rPr>
        <w:t>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7" w:name="page18"/>
    <w:bookmarkEnd w:id="17"/>
    <w:p>
      <w:pPr>
        <w:ind w:left="660" w:right="100" w:firstLine="645"/>
        <w:spacing w:after="0" w:line="272" w:lineRule="auto"/>
        <w:tabs>
          <w:tab w:leader="none" w:pos="1798" w:val="left"/>
        </w:tabs>
        <w:numPr>
          <w:ilvl w:val="1"/>
          <w:numId w:val="17"/>
        </w:numPr>
        <w:rPr>
          <w:rFonts w:ascii="Arial" w:cs="Arial" w:eastAsia="Arial" w:hAnsi="Arial"/>
          <w:sz w:val="17"/>
          <w:szCs w:val="17"/>
          <w:color w:val="auto"/>
        </w:rPr>
      </w:pPr>
      <w:r>
        <w:rPr>
          <w:rFonts w:ascii="Arial" w:cs="Arial" w:eastAsia="Arial" w:hAnsi="Arial"/>
          <w:sz w:val="17"/>
          <w:szCs w:val="17"/>
          <w:color w:val="auto"/>
        </w:rPr>
        <w:t xml:space="preserve">If the registrant is subject to Rule 430C, each prospectus filed pursuant to Rule 424(b) as part of a registration statement relating to an offering, other than registration statements relying on Rule 430B or other prospectuses filed in reliance on Rule 430A, shall be deemed to be part of and included in the registration statement as of the date it is first used after effectiveness.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77" w:lineRule="exact"/>
        <w:rPr>
          <w:rFonts w:ascii="Arial" w:cs="Arial" w:eastAsia="Arial" w:hAnsi="Arial"/>
          <w:sz w:val="17"/>
          <w:szCs w:val="17"/>
          <w:color w:val="auto"/>
        </w:rPr>
      </w:pPr>
    </w:p>
    <w:p>
      <w:pPr>
        <w:ind w:left="1440" w:hanging="784"/>
        <w:spacing w:after="0"/>
        <w:tabs>
          <w:tab w:leader="none" w:pos="14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That, for the purpose of determining liability of the registrant under the Securities Act to any purchaser in the initial distribution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securities:</w:t>
      </w:r>
    </w:p>
    <w:p>
      <w:pPr>
        <w:spacing w:after="0" w:line="211"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47" w:lineRule="exact"/>
        <w:rPr>
          <w:sz w:val="20"/>
          <w:szCs w:val="20"/>
          <w:color w:val="auto"/>
        </w:rPr>
      </w:pPr>
    </w:p>
    <w:p>
      <w:pPr>
        <w:ind w:right="100" w:firstLine="8"/>
        <w:spacing w:after="0" w:line="257"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 (ii) Any free writing prospectus relating to the offering prepared by or on behalf of the undersigned registrant or used or referred to by the undersigned registrant; (iii) The portion of any other free writing prospectus relating to the offering containing material information about the undersigned registrant or its securities provided by or on behalf of the undersigned registrant; and (iv) Any other communication that is an offer in the offering made by the undersigned registrant to the purchaser.</w:t>
      </w:r>
    </w:p>
    <w:p>
      <w:pPr>
        <w:spacing w:after="0" w:line="188" w:lineRule="exact"/>
        <w:rPr>
          <w:rFonts w:ascii="Arial" w:cs="Arial" w:eastAsia="Arial" w:hAnsi="Arial"/>
          <w:sz w:val="18"/>
          <w:szCs w:val="18"/>
          <w:color w:val="auto"/>
        </w:rPr>
      </w:pPr>
    </w:p>
    <w:p>
      <w:pPr>
        <w:ind w:right="100" w:firstLine="8"/>
        <w:spacing w:after="0" w:line="257" w:lineRule="auto"/>
        <w:tabs>
          <w:tab w:leader="none" w:pos="522"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The undersigned registrant hereby undertakes that, for purposes of determining any liability under the Securities Act, each filing of the registrant’s annual report pursuant to Section 13(a) or Section 15(d) of the Securities Exchange Act (and, where applicable, each filing of an employee benefit plan’s annual report pursuant to Section 15(d) of the Securities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8" w:lineRule="exact"/>
        <w:rPr>
          <w:rFonts w:ascii="Arial" w:cs="Arial" w:eastAsia="Arial" w:hAnsi="Arial"/>
          <w:sz w:val="18"/>
          <w:szCs w:val="18"/>
          <w:color w:val="auto"/>
        </w:rPr>
      </w:pPr>
    </w:p>
    <w:p>
      <w:pPr>
        <w:ind w:firstLine="8"/>
        <w:spacing w:after="0" w:line="291" w:lineRule="auto"/>
        <w:tabs>
          <w:tab w:leader="none" w:pos="515"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Act and will be governed by the final adjudication of such issue.</w:t>
      </w:r>
    </w:p>
    <w:p>
      <w:pPr>
        <w:spacing w:after="0" w:line="167" w:lineRule="exact"/>
        <w:rPr>
          <w:rFonts w:ascii="Arial" w:cs="Arial" w:eastAsia="Arial" w:hAnsi="Arial"/>
          <w:sz w:val="16"/>
          <w:szCs w:val="16"/>
          <w:color w:val="auto"/>
        </w:rPr>
      </w:pPr>
    </w:p>
    <w:p>
      <w:pPr>
        <w:ind w:left="480" w:hanging="472"/>
        <w:spacing w:after="0"/>
        <w:tabs>
          <w:tab w:leader="none" w:pos="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undersigned registrant hereby further undertakes that: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8" w:name="page19"/>
    <w:bookmarkEnd w:id="18"/>
    <w:p>
      <w:pPr>
        <w:ind w:left="100" w:firstLine="653"/>
        <w:spacing w:after="0" w:line="259" w:lineRule="auto"/>
        <w:tabs>
          <w:tab w:leader="none" w:pos="12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the information omitted from the form of prospectus filed as part of this registration statement in reliance under Rule 430A and contained in a form of prospectus filed by the registrant pursuant to Rule 424(b)(1) or (4), or 497(h) under the Securities Act shall be deemed to be part of this registration statement as of the time it was declared effective.</w:t>
      </w:r>
    </w:p>
    <w:p>
      <w:pPr>
        <w:spacing w:after="0" w:line="186" w:lineRule="exact"/>
        <w:rPr>
          <w:rFonts w:ascii="Arial" w:cs="Arial" w:eastAsia="Arial" w:hAnsi="Arial"/>
          <w:sz w:val="18"/>
          <w:szCs w:val="18"/>
          <w:color w:val="auto"/>
        </w:rPr>
      </w:pPr>
    </w:p>
    <w:p>
      <w:pPr>
        <w:jc w:val="both"/>
        <w:ind w:left="100" w:right="20" w:firstLine="653"/>
        <w:spacing w:after="0" w:line="264" w:lineRule="auto"/>
        <w:tabs>
          <w:tab w:leader="none" w:pos="12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00"/>
          </w:cols>
          <w:pgMar w:left="1440" w:top="881" w:right="25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Pursuant to the requirements of the Securities Act, the registrant certifies that it has reasonable grounds to believe that it meets all of the requirements for filing on Form F-3 and has duly caused this registration statement to be signed on its behalf by the undersigned, thereunder duly authorized, in the city of Tel Aviv, Israel, on July 14, 2014.</w:t>
      </w:r>
    </w:p>
    <w:p>
      <w:pPr>
        <w:spacing w:after="0" w:line="18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ALCOBRA LTD.</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Dr. Yaron Daniely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23495</wp:posOffset>
            </wp:positionV>
            <wp:extent cx="34048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3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Dr. Yaron Daniely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 and President</w:t>
      </w:r>
    </w:p>
    <w:p>
      <w:pPr>
        <w:spacing w:after="0" w:line="211"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We, the undersigned directors and/or officers of Alcobra Ltd., hereby severally constitute and appoint Dr. Yaron Daniely and Dr. Tomer Berkovitz, and each of them singly, our true and lawful attorneys, with full power to any of them, and to each of them singly, to sign for us and in our names in the capacities indicated below the registration statement on Form F-3 filed herewith, and any and all pre-effective and post-effective amendments to said registration statement, and any registration statement filed pursuant to Rule 462(b) under the Securities Act, as amended, in connection with the said registration under the Securities Act, as amended, and to file or cause to be filed the same, with all exhibits thereto and other documents in connection therewith, with the SEC, granting unto said attorneys, and each of them, full power and authority to do and perform each and every act and thing requisite and necessary to be done in connection therewith, as fully to all intents and purposes as each of them might or could do in person, and hereby ratifying and confirming all that said attorneys, and each of them, shall do or cause to be done by virtue of this Power of Attorney.</w:t>
      </w:r>
    </w:p>
    <w:p>
      <w:pPr>
        <w:spacing w:after="0" w:line="17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Pursuant to the requirements of the Securities Act, as amended, this Registration Statement has been signed below by the following persons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60" w:type="dxa"/>
            <w:vAlign w:val="bottom"/>
            <w:gridSpan w:val="2"/>
          </w:tcPr>
          <w:p>
            <w:pPr>
              <w:spacing w:after="0"/>
              <w:rPr>
                <w:sz w:val="20"/>
                <w:szCs w:val="20"/>
                <w:color w:val="auto"/>
              </w:rPr>
            </w:pPr>
            <w:r>
              <w:rPr>
                <w:rFonts w:ascii="Arial" w:cs="Arial" w:eastAsia="Arial" w:hAnsi="Arial"/>
                <w:sz w:val="18"/>
                <w:szCs w:val="18"/>
                <w:b w:val="1"/>
                <w:bCs w:val="1"/>
                <w:color w:val="auto"/>
              </w:rPr>
              <w:t>Signature</w:t>
            </w:r>
          </w:p>
        </w:tc>
        <w:tc>
          <w:tcPr>
            <w:tcW w:w="5700" w:type="dxa"/>
            <w:vAlign w:val="bottom"/>
          </w:tcPr>
          <w:p>
            <w:pPr>
              <w:ind w:left="80"/>
              <w:spacing w:after="0"/>
              <w:rPr>
                <w:sz w:val="20"/>
                <w:szCs w:val="20"/>
                <w:color w:val="auto"/>
              </w:rPr>
            </w:pPr>
            <w:r>
              <w:rPr>
                <w:rFonts w:ascii="Arial" w:cs="Arial" w:eastAsia="Arial" w:hAnsi="Arial"/>
                <w:sz w:val="18"/>
                <w:szCs w:val="18"/>
                <w:b w:val="1"/>
                <w:bCs w:val="1"/>
                <w:color w:val="auto"/>
              </w:rPr>
              <w:t>Title</w:t>
            </w:r>
          </w:p>
        </w:tc>
        <w:tc>
          <w:tcPr>
            <w:tcW w:w="2280" w:type="dxa"/>
            <w:vAlign w:val="bottom"/>
          </w:tcPr>
          <w:p>
            <w:pPr>
              <w:ind w:left="1320"/>
              <w:spacing w:after="0"/>
              <w:rPr>
                <w:sz w:val="20"/>
                <w:szCs w:val="20"/>
                <w:color w:val="auto"/>
              </w:rPr>
            </w:pPr>
            <w:r>
              <w:rPr>
                <w:rFonts w:ascii="Arial" w:cs="Arial" w:eastAsia="Arial" w:hAnsi="Arial"/>
                <w:sz w:val="18"/>
                <w:szCs w:val="18"/>
                <w:b w:val="1"/>
                <w:bCs w:val="1"/>
                <w:color w:val="auto"/>
              </w:rPr>
              <w:t>Date</w:t>
            </w:r>
          </w:p>
        </w:tc>
      </w:tr>
      <w:tr>
        <w:trPr>
          <w:trHeight w:val="432"/>
        </w:trPr>
        <w:tc>
          <w:tcPr>
            <w:tcW w:w="2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Yaron Daniely</w:t>
            </w:r>
          </w:p>
        </w:tc>
        <w:tc>
          <w:tcPr>
            <w:tcW w:w="5700" w:type="dxa"/>
            <w:vAlign w:val="bottom"/>
          </w:tcPr>
          <w:p>
            <w:pPr>
              <w:ind w:left="80"/>
              <w:spacing w:after="0"/>
              <w:rPr>
                <w:sz w:val="20"/>
                <w:szCs w:val="20"/>
                <w:color w:val="auto"/>
              </w:rPr>
            </w:pPr>
            <w:r>
              <w:rPr>
                <w:rFonts w:ascii="Arial" w:cs="Arial" w:eastAsia="Arial" w:hAnsi="Arial"/>
                <w:sz w:val="18"/>
                <w:szCs w:val="18"/>
                <w:color w:val="auto"/>
              </w:rPr>
              <w:t>Chief Executive Officer, President and Director</w:t>
            </w:r>
          </w:p>
        </w:tc>
        <w:tc>
          <w:tcPr>
            <w:tcW w:w="2280" w:type="dxa"/>
            <w:vAlign w:val="bottom"/>
          </w:tcPr>
          <w:p>
            <w:pPr>
              <w:ind w:left="1320"/>
              <w:spacing w:after="0"/>
              <w:rPr>
                <w:sz w:val="20"/>
                <w:szCs w:val="20"/>
                <w:color w:val="auto"/>
              </w:rPr>
            </w:pPr>
            <w:r>
              <w:rPr>
                <w:rFonts w:ascii="Arial" w:cs="Arial" w:eastAsia="Arial" w:hAnsi="Arial"/>
                <w:sz w:val="18"/>
                <w:szCs w:val="18"/>
                <w:color w:val="auto"/>
                <w:w w:val="87"/>
              </w:rPr>
              <w:t>July 14, 2014</w:t>
            </w:r>
          </w:p>
        </w:tc>
      </w:tr>
      <w:tr>
        <w:trPr>
          <w:trHeight w:val="224"/>
        </w:trPr>
        <w:tc>
          <w:tcPr>
            <w:tcW w:w="2760" w:type="dxa"/>
            <w:vAlign w:val="bottom"/>
            <w:gridSpan w:val="2"/>
          </w:tcPr>
          <w:p>
            <w:pPr>
              <w:spacing w:after="0"/>
              <w:rPr>
                <w:sz w:val="20"/>
                <w:szCs w:val="20"/>
                <w:color w:val="auto"/>
              </w:rPr>
            </w:pPr>
            <w:r>
              <w:rPr>
                <w:rFonts w:ascii="Arial" w:cs="Arial" w:eastAsia="Arial" w:hAnsi="Arial"/>
                <w:sz w:val="18"/>
                <w:szCs w:val="18"/>
                <w:color w:val="auto"/>
              </w:rPr>
              <w:t>Dr. Yaron Daniely</w:t>
            </w:r>
          </w:p>
        </w:tc>
        <w:tc>
          <w:tcPr>
            <w:tcW w:w="5700" w:type="dxa"/>
            <w:vAlign w:val="bottom"/>
          </w:tcPr>
          <w:p>
            <w:pPr>
              <w:ind w:left="80"/>
              <w:spacing w:after="0"/>
              <w:rPr>
                <w:sz w:val="20"/>
                <w:szCs w:val="20"/>
                <w:color w:val="auto"/>
              </w:rPr>
            </w:pPr>
            <w:r>
              <w:rPr>
                <w:rFonts w:ascii="Arial" w:cs="Arial" w:eastAsia="Arial" w:hAnsi="Arial"/>
                <w:sz w:val="18"/>
                <w:szCs w:val="18"/>
                <w:color w:val="auto"/>
              </w:rPr>
              <w:t>(principal executive officer)</w:t>
            </w:r>
          </w:p>
        </w:tc>
        <w:tc>
          <w:tcPr>
            <w:tcW w:w="2280" w:type="dxa"/>
            <w:vAlign w:val="bottom"/>
          </w:tcPr>
          <w:p>
            <w:pPr>
              <w:spacing w:after="0"/>
              <w:rPr>
                <w:sz w:val="19"/>
                <w:szCs w:val="19"/>
                <w:color w:val="auto"/>
              </w:rPr>
            </w:pPr>
          </w:p>
        </w:tc>
      </w:tr>
      <w:tr>
        <w:trPr>
          <w:trHeight w:val="418"/>
        </w:trPr>
        <w:tc>
          <w:tcPr>
            <w:tcW w:w="2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Tomer Berkovitz</w:t>
            </w:r>
          </w:p>
        </w:tc>
        <w:tc>
          <w:tcPr>
            <w:tcW w:w="5700" w:type="dxa"/>
            <w:vAlign w:val="bottom"/>
          </w:tcPr>
          <w:p>
            <w:pPr>
              <w:ind w:left="80"/>
              <w:spacing w:after="0"/>
              <w:rPr>
                <w:sz w:val="20"/>
                <w:szCs w:val="20"/>
                <w:color w:val="auto"/>
              </w:rPr>
            </w:pPr>
            <w:r>
              <w:rPr>
                <w:rFonts w:ascii="Arial" w:cs="Arial" w:eastAsia="Arial" w:hAnsi="Arial"/>
                <w:sz w:val="18"/>
                <w:szCs w:val="18"/>
                <w:color w:val="auto"/>
              </w:rPr>
              <w:t>Chief Financial Officer</w:t>
            </w:r>
          </w:p>
        </w:tc>
        <w:tc>
          <w:tcPr>
            <w:tcW w:w="2280" w:type="dxa"/>
            <w:vAlign w:val="bottom"/>
          </w:tcPr>
          <w:p>
            <w:pPr>
              <w:ind w:left="1320"/>
              <w:spacing w:after="0"/>
              <w:rPr>
                <w:sz w:val="20"/>
                <w:szCs w:val="20"/>
                <w:color w:val="auto"/>
              </w:rPr>
            </w:pPr>
            <w:r>
              <w:rPr>
                <w:rFonts w:ascii="Arial" w:cs="Arial" w:eastAsia="Arial" w:hAnsi="Arial"/>
                <w:sz w:val="18"/>
                <w:szCs w:val="18"/>
                <w:color w:val="auto"/>
                <w:w w:val="87"/>
              </w:rPr>
              <w:t>July 14, 2014</w:t>
            </w:r>
          </w:p>
        </w:tc>
      </w:tr>
      <w:tr>
        <w:trPr>
          <w:trHeight w:val="224"/>
        </w:trPr>
        <w:tc>
          <w:tcPr>
            <w:tcW w:w="2760" w:type="dxa"/>
            <w:vAlign w:val="bottom"/>
            <w:gridSpan w:val="2"/>
          </w:tcPr>
          <w:p>
            <w:pPr>
              <w:spacing w:after="0"/>
              <w:rPr>
                <w:sz w:val="20"/>
                <w:szCs w:val="20"/>
                <w:color w:val="auto"/>
              </w:rPr>
            </w:pPr>
            <w:r>
              <w:rPr>
                <w:rFonts w:ascii="Arial" w:cs="Arial" w:eastAsia="Arial" w:hAnsi="Arial"/>
                <w:sz w:val="18"/>
                <w:szCs w:val="18"/>
                <w:color w:val="auto"/>
              </w:rPr>
              <w:t>Dr. Tomer Berkovitz</w:t>
            </w:r>
          </w:p>
        </w:tc>
        <w:tc>
          <w:tcPr>
            <w:tcW w:w="5700" w:type="dxa"/>
            <w:vAlign w:val="bottom"/>
          </w:tcPr>
          <w:p>
            <w:pPr>
              <w:ind w:left="80"/>
              <w:spacing w:after="0"/>
              <w:rPr>
                <w:sz w:val="20"/>
                <w:szCs w:val="20"/>
                <w:color w:val="auto"/>
              </w:rPr>
            </w:pPr>
            <w:r>
              <w:rPr>
                <w:rFonts w:ascii="Arial" w:cs="Arial" w:eastAsia="Arial" w:hAnsi="Arial"/>
                <w:sz w:val="18"/>
                <w:szCs w:val="18"/>
                <w:color w:val="auto"/>
              </w:rPr>
              <w:t>(principal financial officer and principal accounting officer)</w:t>
            </w:r>
          </w:p>
        </w:tc>
        <w:tc>
          <w:tcPr>
            <w:tcW w:w="2280" w:type="dxa"/>
            <w:vAlign w:val="bottom"/>
          </w:tcPr>
          <w:p>
            <w:pPr>
              <w:spacing w:after="0"/>
              <w:rPr>
                <w:sz w:val="19"/>
                <w:szCs w:val="19"/>
                <w:color w:val="auto"/>
              </w:rPr>
            </w:pPr>
          </w:p>
        </w:tc>
      </w:tr>
      <w:tr>
        <w:trPr>
          <w:trHeight w:val="418"/>
        </w:trPr>
        <w:tc>
          <w:tcPr>
            <w:tcW w:w="2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Howard B. Rosen</w:t>
            </w:r>
          </w:p>
        </w:tc>
        <w:tc>
          <w:tcPr>
            <w:tcW w:w="5700" w:type="dxa"/>
            <w:vAlign w:val="bottom"/>
          </w:tcPr>
          <w:p>
            <w:pPr>
              <w:ind w:left="80"/>
              <w:spacing w:after="0"/>
              <w:rPr>
                <w:sz w:val="20"/>
                <w:szCs w:val="20"/>
                <w:color w:val="auto"/>
              </w:rPr>
            </w:pPr>
            <w:r>
              <w:rPr>
                <w:rFonts w:ascii="Arial" w:cs="Arial" w:eastAsia="Arial" w:hAnsi="Arial"/>
                <w:sz w:val="18"/>
                <w:szCs w:val="18"/>
                <w:color w:val="auto"/>
              </w:rPr>
              <w:t>Chairman of the Board of Directors</w:t>
            </w:r>
          </w:p>
        </w:tc>
        <w:tc>
          <w:tcPr>
            <w:tcW w:w="2280" w:type="dxa"/>
            <w:vAlign w:val="bottom"/>
          </w:tcPr>
          <w:p>
            <w:pPr>
              <w:ind w:left="1320"/>
              <w:spacing w:after="0"/>
              <w:rPr>
                <w:sz w:val="20"/>
                <w:szCs w:val="20"/>
                <w:color w:val="auto"/>
              </w:rPr>
            </w:pPr>
            <w:r>
              <w:rPr>
                <w:rFonts w:ascii="Arial" w:cs="Arial" w:eastAsia="Arial" w:hAnsi="Arial"/>
                <w:sz w:val="18"/>
                <w:szCs w:val="18"/>
                <w:color w:val="auto"/>
                <w:w w:val="87"/>
              </w:rPr>
              <w:t>July 14, 2014</w:t>
            </w:r>
          </w:p>
        </w:tc>
      </w:tr>
      <w:tr>
        <w:trPr>
          <w:trHeight w:val="224"/>
        </w:trPr>
        <w:tc>
          <w:tcPr>
            <w:tcW w:w="2760" w:type="dxa"/>
            <w:vAlign w:val="bottom"/>
            <w:gridSpan w:val="2"/>
          </w:tcPr>
          <w:p>
            <w:pPr>
              <w:spacing w:after="0"/>
              <w:rPr>
                <w:sz w:val="20"/>
                <w:szCs w:val="20"/>
                <w:color w:val="auto"/>
              </w:rPr>
            </w:pPr>
            <w:r>
              <w:rPr>
                <w:rFonts w:ascii="Arial" w:cs="Arial" w:eastAsia="Arial" w:hAnsi="Arial"/>
                <w:sz w:val="18"/>
                <w:szCs w:val="18"/>
                <w:color w:val="auto"/>
              </w:rPr>
              <w:t>Howard B. Rosen</w:t>
            </w:r>
          </w:p>
        </w:tc>
        <w:tc>
          <w:tcPr>
            <w:tcW w:w="570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Arieh Ben Yosef</w:t>
            </w:r>
          </w:p>
        </w:tc>
        <w:tc>
          <w:tcPr>
            <w:tcW w:w="5700" w:type="dxa"/>
            <w:vAlign w:val="bottom"/>
          </w:tcPr>
          <w:p>
            <w:pPr>
              <w:ind w:left="8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320"/>
              <w:spacing w:after="0"/>
              <w:rPr>
                <w:sz w:val="20"/>
                <w:szCs w:val="20"/>
                <w:color w:val="auto"/>
              </w:rPr>
            </w:pPr>
            <w:r>
              <w:rPr>
                <w:rFonts w:ascii="Arial" w:cs="Arial" w:eastAsia="Arial" w:hAnsi="Arial"/>
                <w:sz w:val="18"/>
                <w:szCs w:val="18"/>
                <w:color w:val="auto"/>
                <w:w w:val="87"/>
              </w:rPr>
              <w:t>July 10, 2014</w:t>
            </w:r>
          </w:p>
        </w:tc>
      </w:tr>
      <w:tr>
        <w:trPr>
          <w:trHeight w:val="224"/>
        </w:trPr>
        <w:tc>
          <w:tcPr>
            <w:tcW w:w="2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Arieh Ben Yosef</w:t>
            </w:r>
          </w:p>
        </w:tc>
        <w:tc>
          <w:tcPr>
            <w:tcW w:w="570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18"/>
        </w:trPr>
        <w:tc>
          <w:tcPr>
            <w:tcW w:w="2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Daniel E. Geffken</w:t>
            </w:r>
          </w:p>
        </w:tc>
        <w:tc>
          <w:tcPr>
            <w:tcW w:w="5700" w:type="dxa"/>
            <w:vAlign w:val="bottom"/>
          </w:tcPr>
          <w:p>
            <w:pPr>
              <w:ind w:left="8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320"/>
              <w:spacing w:after="0"/>
              <w:rPr>
                <w:sz w:val="20"/>
                <w:szCs w:val="20"/>
                <w:color w:val="auto"/>
              </w:rPr>
            </w:pPr>
            <w:r>
              <w:rPr>
                <w:rFonts w:ascii="Arial" w:cs="Arial" w:eastAsia="Arial" w:hAnsi="Arial"/>
                <w:sz w:val="18"/>
                <w:szCs w:val="18"/>
                <w:color w:val="auto"/>
                <w:w w:val="87"/>
              </w:rPr>
              <w:t>July 10, 2014</w:t>
            </w:r>
          </w:p>
        </w:tc>
      </w:tr>
      <w:tr>
        <w:trPr>
          <w:trHeight w:val="224"/>
        </w:trPr>
        <w:tc>
          <w:tcPr>
            <w:tcW w:w="2760" w:type="dxa"/>
            <w:vAlign w:val="bottom"/>
            <w:gridSpan w:val="2"/>
          </w:tcPr>
          <w:p>
            <w:pPr>
              <w:spacing w:after="0"/>
              <w:rPr>
                <w:sz w:val="20"/>
                <w:szCs w:val="20"/>
                <w:color w:val="auto"/>
              </w:rPr>
            </w:pPr>
            <w:r>
              <w:rPr>
                <w:rFonts w:ascii="Arial" w:cs="Arial" w:eastAsia="Arial" w:hAnsi="Arial"/>
                <w:sz w:val="18"/>
                <w:szCs w:val="18"/>
                <w:color w:val="auto"/>
              </w:rPr>
              <w:t>Daniel E. Geffken</w:t>
            </w:r>
          </w:p>
        </w:tc>
        <w:tc>
          <w:tcPr>
            <w:tcW w:w="570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Dr. Hadas Gelander</w:t>
            </w:r>
          </w:p>
        </w:tc>
        <w:tc>
          <w:tcPr>
            <w:tcW w:w="5700" w:type="dxa"/>
            <w:vAlign w:val="bottom"/>
          </w:tcPr>
          <w:p>
            <w:pPr>
              <w:ind w:left="8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320"/>
              <w:spacing w:after="0"/>
              <w:rPr>
                <w:sz w:val="20"/>
                <w:szCs w:val="20"/>
                <w:color w:val="auto"/>
              </w:rPr>
            </w:pPr>
            <w:r>
              <w:rPr>
                <w:rFonts w:ascii="Arial" w:cs="Arial" w:eastAsia="Arial" w:hAnsi="Arial"/>
                <w:sz w:val="18"/>
                <w:szCs w:val="18"/>
                <w:color w:val="auto"/>
                <w:w w:val="87"/>
              </w:rPr>
              <w:t>July 14, 2014</w:t>
            </w:r>
          </w:p>
        </w:tc>
      </w:tr>
      <w:tr>
        <w:trPr>
          <w:trHeight w:val="224"/>
        </w:trPr>
        <w:tc>
          <w:tcPr>
            <w:tcW w:w="2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Dr. Hadas Gelander</w:t>
            </w:r>
          </w:p>
        </w:tc>
        <w:tc>
          <w:tcPr>
            <w:tcW w:w="570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18"/>
        </w:trPr>
        <w:tc>
          <w:tcPr>
            <w:tcW w:w="2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Ehud (Udi) Gilboa</w:t>
            </w:r>
          </w:p>
        </w:tc>
        <w:tc>
          <w:tcPr>
            <w:tcW w:w="5700" w:type="dxa"/>
            <w:vAlign w:val="bottom"/>
          </w:tcPr>
          <w:p>
            <w:pPr>
              <w:ind w:left="8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320"/>
              <w:spacing w:after="0"/>
              <w:rPr>
                <w:sz w:val="20"/>
                <w:szCs w:val="20"/>
                <w:color w:val="auto"/>
              </w:rPr>
            </w:pPr>
            <w:r>
              <w:rPr>
                <w:rFonts w:ascii="Arial" w:cs="Arial" w:eastAsia="Arial" w:hAnsi="Arial"/>
                <w:sz w:val="18"/>
                <w:szCs w:val="18"/>
                <w:color w:val="auto"/>
                <w:w w:val="87"/>
              </w:rPr>
              <w:t>July 11, 2014</w:t>
            </w:r>
          </w:p>
        </w:tc>
      </w:tr>
      <w:tr>
        <w:trPr>
          <w:trHeight w:val="224"/>
        </w:trPr>
        <w:tc>
          <w:tcPr>
            <w:tcW w:w="2760" w:type="dxa"/>
            <w:vAlign w:val="bottom"/>
            <w:gridSpan w:val="2"/>
          </w:tcPr>
          <w:p>
            <w:pPr>
              <w:spacing w:after="0"/>
              <w:rPr>
                <w:sz w:val="20"/>
                <w:szCs w:val="20"/>
                <w:color w:val="auto"/>
              </w:rPr>
            </w:pPr>
            <w:r>
              <w:rPr>
                <w:rFonts w:ascii="Arial" w:cs="Arial" w:eastAsia="Arial" w:hAnsi="Arial"/>
                <w:sz w:val="18"/>
                <w:szCs w:val="18"/>
                <w:color w:val="auto"/>
              </w:rPr>
              <w:t>Ehud (Udi) Gilboa</w:t>
            </w:r>
          </w:p>
        </w:tc>
        <w:tc>
          <w:tcPr>
            <w:tcW w:w="570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18"/>
        </w:trPr>
        <w:tc>
          <w:tcPr>
            <w:tcW w:w="2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Dr. Dalia Megiddo</w:t>
            </w:r>
          </w:p>
        </w:tc>
        <w:tc>
          <w:tcPr>
            <w:tcW w:w="5700" w:type="dxa"/>
            <w:vAlign w:val="bottom"/>
          </w:tcPr>
          <w:p>
            <w:pPr>
              <w:ind w:left="8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320"/>
              <w:spacing w:after="0"/>
              <w:rPr>
                <w:sz w:val="20"/>
                <w:szCs w:val="20"/>
                <w:color w:val="auto"/>
              </w:rPr>
            </w:pPr>
            <w:r>
              <w:rPr>
                <w:rFonts w:ascii="Arial" w:cs="Arial" w:eastAsia="Arial" w:hAnsi="Arial"/>
                <w:sz w:val="18"/>
                <w:szCs w:val="18"/>
                <w:color w:val="auto"/>
                <w:w w:val="87"/>
              </w:rPr>
              <w:t>July 13, 2014</w:t>
            </w:r>
          </w:p>
        </w:tc>
      </w:tr>
      <w:tr>
        <w:trPr>
          <w:trHeight w:val="224"/>
        </w:trPr>
        <w:tc>
          <w:tcPr>
            <w:tcW w:w="2760" w:type="dxa"/>
            <w:vAlign w:val="bottom"/>
            <w:gridSpan w:val="2"/>
          </w:tcPr>
          <w:p>
            <w:pPr>
              <w:spacing w:after="0"/>
              <w:rPr>
                <w:sz w:val="20"/>
                <w:szCs w:val="20"/>
                <w:color w:val="auto"/>
              </w:rPr>
            </w:pPr>
            <w:r>
              <w:rPr>
                <w:rFonts w:ascii="Arial" w:cs="Arial" w:eastAsia="Arial" w:hAnsi="Arial"/>
                <w:sz w:val="18"/>
                <w:szCs w:val="18"/>
                <w:color w:val="auto"/>
              </w:rPr>
              <w:t>Dr. Dalia Megiddo</w:t>
            </w:r>
          </w:p>
        </w:tc>
        <w:tc>
          <w:tcPr>
            <w:tcW w:w="570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18"/>
        </w:trPr>
        <w:tc>
          <w:tcPr>
            <w:tcW w:w="2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Ori Mor</w:t>
            </w:r>
          </w:p>
        </w:tc>
        <w:tc>
          <w:tcPr>
            <w:tcW w:w="5700" w:type="dxa"/>
            <w:vAlign w:val="bottom"/>
          </w:tcPr>
          <w:p>
            <w:pPr>
              <w:ind w:left="8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320"/>
              <w:spacing w:after="0"/>
              <w:rPr>
                <w:sz w:val="20"/>
                <w:szCs w:val="20"/>
                <w:color w:val="auto"/>
              </w:rPr>
            </w:pPr>
            <w:r>
              <w:rPr>
                <w:rFonts w:ascii="Arial" w:cs="Arial" w:eastAsia="Arial" w:hAnsi="Arial"/>
                <w:sz w:val="18"/>
                <w:szCs w:val="18"/>
                <w:color w:val="auto"/>
                <w:w w:val="87"/>
              </w:rPr>
              <w:t>July 14, 2014</w:t>
            </w:r>
          </w:p>
        </w:tc>
      </w:tr>
      <w:tr>
        <w:trPr>
          <w:trHeight w:val="224"/>
        </w:trPr>
        <w:tc>
          <w:tcPr>
            <w:tcW w:w="2760" w:type="dxa"/>
            <w:vAlign w:val="bottom"/>
            <w:gridSpan w:val="2"/>
          </w:tcPr>
          <w:p>
            <w:pPr>
              <w:spacing w:after="0"/>
              <w:rPr>
                <w:sz w:val="20"/>
                <w:szCs w:val="20"/>
                <w:color w:val="auto"/>
              </w:rPr>
            </w:pPr>
            <w:r>
              <w:rPr>
                <w:rFonts w:ascii="Arial" w:cs="Arial" w:eastAsia="Arial" w:hAnsi="Arial"/>
                <w:sz w:val="18"/>
                <w:szCs w:val="18"/>
                <w:color w:val="auto"/>
              </w:rPr>
              <w:t>Ori Mor</w:t>
            </w:r>
          </w:p>
        </w:tc>
        <w:tc>
          <w:tcPr>
            <w:tcW w:w="570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18"/>
        </w:trPr>
        <w:tc>
          <w:tcPr>
            <w:tcW w:w="2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Dr. Aharon Schwartz</w:t>
            </w:r>
          </w:p>
        </w:tc>
        <w:tc>
          <w:tcPr>
            <w:tcW w:w="5700" w:type="dxa"/>
            <w:vAlign w:val="bottom"/>
          </w:tcPr>
          <w:p>
            <w:pPr>
              <w:ind w:left="8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1320"/>
              <w:spacing w:after="0"/>
              <w:rPr>
                <w:sz w:val="20"/>
                <w:szCs w:val="20"/>
                <w:color w:val="auto"/>
              </w:rPr>
            </w:pPr>
            <w:r>
              <w:rPr>
                <w:rFonts w:ascii="Arial" w:cs="Arial" w:eastAsia="Arial" w:hAnsi="Arial"/>
                <w:sz w:val="18"/>
                <w:szCs w:val="18"/>
                <w:color w:val="auto"/>
                <w:w w:val="87"/>
              </w:rPr>
              <w:t>July 11, 2014</w:t>
            </w:r>
          </w:p>
        </w:tc>
      </w:tr>
      <w:tr>
        <w:trPr>
          <w:trHeight w:val="224"/>
        </w:trPr>
        <w:tc>
          <w:tcPr>
            <w:tcW w:w="2760" w:type="dxa"/>
            <w:vAlign w:val="bottom"/>
            <w:gridSpan w:val="2"/>
          </w:tcPr>
          <w:p>
            <w:pPr>
              <w:spacing w:after="0"/>
              <w:rPr>
                <w:sz w:val="20"/>
                <w:szCs w:val="20"/>
                <w:color w:val="auto"/>
              </w:rPr>
            </w:pPr>
            <w:r>
              <w:rPr>
                <w:rFonts w:ascii="Arial" w:cs="Arial" w:eastAsia="Arial" w:hAnsi="Arial"/>
                <w:sz w:val="18"/>
                <w:szCs w:val="18"/>
                <w:color w:val="auto"/>
              </w:rPr>
              <w:t>Dr. Aharon Schwartz</w:t>
            </w:r>
          </w:p>
        </w:tc>
        <w:tc>
          <w:tcPr>
            <w:tcW w:w="5700" w:type="dxa"/>
            <w:vAlign w:val="bottom"/>
          </w:tcPr>
          <w:p>
            <w:pPr>
              <w:spacing w:after="0"/>
              <w:rPr>
                <w:sz w:val="19"/>
                <w:szCs w:val="19"/>
                <w:color w:val="auto"/>
              </w:rPr>
            </w:pPr>
          </w:p>
        </w:tc>
        <w:tc>
          <w:tcPr>
            <w:tcW w:w="2280" w:type="dxa"/>
            <w:vAlign w:val="bottom"/>
          </w:tcPr>
          <w:p>
            <w:pPr>
              <w:spacing w:after="0"/>
              <w:rPr>
                <w:sz w:val="19"/>
                <w:szCs w:val="19"/>
                <w:color w:val="auto"/>
              </w:rPr>
            </w:pPr>
          </w:p>
        </w:tc>
      </w:tr>
    </w:tbl>
    <w:p>
      <w:pPr>
        <w:spacing w:after="0" w:line="187"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Pursuant to the requirements of the Securities Act, as amended, the undersigned, the duly authorized representative in the United States of Alcobra Ltd. has signed this registration statement on July 14, 2014.</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ALCOBRA, INC.</w:t>
      </w:r>
    </w:p>
    <w:p>
      <w:pPr>
        <w:spacing w:after="0" w:line="225" w:lineRule="exact"/>
        <w:rPr>
          <w:sz w:val="20"/>
          <w:szCs w:val="20"/>
          <w:color w:val="auto"/>
        </w:rPr>
      </w:pPr>
    </w:p>
    <w:p>
      <w:pPr>
        <w:ind w:left="5620"/>
        <w:spacing w:after="0"/>
        <w:tabs>
          <w:tab w:leader="none" w:pos="6100" w:val="left"/>
        </w:tabs>
        <w:rPr>
          <w:sz w:val="20"/>
          <w:szCs w:val="20"/>
          <w:color w:val="auto"/>
        </w:rPr>
      </w:pPr>
      <w:r>
        <w:rPr>
          <w:rFonts w:ascii="Arial" w:cs="Arial" w:eastAsia="Arial" w:hAnsi="Arial"/>
          <w:sz w:val="18"/>
          <w:szCs w:val="18"/>
          <w:color w:val="auto"/>
        </w:rPr>
        <w:t>By:</w:t>
        <w:tab/>
        <w:t>/s/ Dr. Yaron Daniely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23495</wp:posOffset>
            </wp:positionV>
            <wp:extent cx="3370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spacing w:after="0" w:line="23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Name:Dr. Yaron Daniely</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936"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u w:val="single" w:color="auto"/>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2612390</wp:posOffset>
            </wp:positionH>
            <wp:positionV relativeFrom="paragraph">
              <wp:posOffset>154940</wp:posOffset>
            </wp:positionV>
            <wp:extent cx="2032635" cy="11664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032635" cy="1166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July 14, 2014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Alcobra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Beit Amot, Weizman 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Aviv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Registration Statement on Form F-3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This opinion is furnished to you in connection with a Registration Statement on a Form F-3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being filed by Alcobra Ltd., an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Israeli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with the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under the Securities Act of 1933, as amended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Securities Act</w:t>
      </w:r>
      <w:r>
        <w:rPr>
          <w:rFonts w:ascii="Arial" w:cs="Arial" w:eastAsia="Arial" w:hAnsi="Arial"/>
          <w:sz w:val="16"/>
          <w:szCs w:val="16"/>
          <w:color w:val="auto"/>
        </w:rPr>
        <w:t>”), relating to the sale, from time to time, by the Company of up to $100,000,000 aggregate amount of Ordinary Shares, par value NIS 0.01 per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 of the Company (the “</w:t>
      </w:r>
      <w:r>
        <w:rPr>
          <w:rFonts w:ascii="Arial" w:cs="Arial" w:eastAsia="Arial" w:hAnsi="Arial"/>
          <w:sz w:val="16"/>
          <w:szCs w:val="16"/>
          <w:u w:val="single" w:color="auto"/>
          <w:color w:val="auto"/>
        </w:rPr>
        <w:t>Shares</w:t>
      </w:r>
      <w:r>
        <w:rPr>
          <w:rFonts w:ascii="Arial" w:cs="Arial" w:eastAsia="Arial" w:hAnsi="Arial"/>
          <w:sz w:val="16"/>
          <w:szCs w:val="16"/>
          <w:color w:val="auto"/>
        </w:rPr>
        <w:t>”), all of which may be issued from time to time on a delayed or continuous basis pursuant to Rule 415 under the Securities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Act.</w:t>
      </w:r>
    </w:p>
    <w:p>
      <w:pPr>
        <w:spacing w:after="0" w:line="211"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We have examined signed copies of the Registration Statement and have also examined and relied upon minutes of meetings of the Board of Directors of the Company as provided to us by the Company, the Articles of Association of the Company, as restated and/or amended to date (the “</w:t>
      </w:r>
      <w:r>
        <w:rPr>
          <w:rFonts w:ascii="Arial" w:cs="Arial" w:eastAsia="Arial" w:hAnsi="Arial"/>
          <w:sz w:val="17"/>
          <w:szCs w:val="17"/>
          <w:u w:val="single" w:color="auto"/>
          <w:color w:val="auto"/>
        </w:rPr>
        <w:t>Articles</w:t>
      </w:r>
      <w:r>
        <w:rPr>
          <w:rFonts w:ascii="Arial" w:cs="Arial" w:eastAsia="Arial" w:hAnsi="Arial"/>
          <w:sz w:val="17"/>
          <w:szCs w:val="17"/>
          <w:color w:val="auto"/>
        </w:rPr>
        <w:t>”), and such other documents as we have deemed necessary for purposes of rendering the opinions hereinafter set forth.</w:t>
      </w:r>
    </w:p>
    <w:p>
      <w:pPr>
        <w:spacing w:after="0" w:line="16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our examination of the foregoing documents, we have assumed the genuineness of all signatures, the authenticity of all documents submitted to us as originals, the conformity to original documents of all documents submitted to us as copies, the authenticity of the originals of such latter documents and the legal competence of all signatories to such documents. Other than such examination and our examination of the documents indicated above, we have made no other examination in connection with this opinion.</w:t>
      </w:r>
    </w:p>
    <w:p>
      <w:pPr>
        <w:spacing w:after="0" w:line="18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are members of the Israel Bar and we express no opinion as to any matter relating to the laws of any jurisdiction other than the laws of Israel and have not, for the purpose of giving this opinion, made any investigation of the laws of any other jurisdiction than Israel. This opinion is expressly limited to the matters set forth above, and we render no opinion, whether by implication or otherwise, as to any other matters. In addition, we render no opinion in relation to any representation made or given in the Registration Statement.</w:t>
      </w:r>
    </w:p>
    <w:p>
      <w:pPr>
        <w:spacing w:after="0" w:line="187"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Based upon and subject to the foregoing, we are of the opinion that when (i) specifically authorized for issuance by the Company’s Board of Directors (the “</w:t>
      </w:r>
      <w:r>
        <w:rPr>
          <w:rFonts w:ascii="Arial" w:cs="Arial" w:eastAsia="Arial" w:hAnsi="Arial"/>
          <w:sz w:val="16"/>
          <w:szCs w:val="16"/>
          <w:u w:val="single" w:color="auto"/>
          <w:color w:val="auto"/>
        </w:rPr>
        <w:t>Authorizing Resolutions</w:t>
      </w:r>
      <w:r>
        <w:rPr>
          <w:rFonts w:ascii="Arial" w:cs="Arial" w:eastAsia="Arial" w:hAnsi="Arial"/>
          <w:sz w:val="16"/>
          <w:szCs w:val="16"/>
          <w:color w:val="auto"/>
        </w:rPr>
        <w:t>”); (ii) the Registration Statement has become effective under the Securities Act; (iii) if necessary, an appropriate prospectus supplement with respect to the Shares has been prepared, filed and delivered in compliance with the Securities Act and the applicable rules promulgated thereunder; (iv) the terms of the sale of the Shares have been duly established in conformity with the Articles and do not violate any applicable law or result in a default under or breach of any agreement or instrument binding on the Company and comply with any requirement or restriction imposed by any court or governmental body having jurisdiction over the Company; (v) the Shares have been issued and sold as contemplated by the Registration Statement and any prospectus supplement, if applicable; and (vi) the Company has received the consideration provided for in the Authorizing Resolutions and such consideration is not less than the par value of the Shares, the Shares will be validly issued,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389255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ind w:firstLine="648"/>
        <w:spacing w:after="0" w:line="255" w:lineRule="auto"/>
        <w:rPr>
          <w:sz w:val="20"/>
          <w:szCs w:val="20"/>
          <w:color w:val="auto"/>
        </w:rPr>
      </w:pPr>
      <w:r>
        <w:rPr>
          <w:rFonts w:ascii="Arial" w:cs="Arial" w:eastAsia="Arial" w:hAnsi="Arial"/>
          <w:sz w:val="18"/>
          <w:szCs w:val="18"/>
          <w:color w:val="auto"/>
        </w:rPr>
        <w:t>The opinions set forth herein are rendered as of the date hereof, and we assume no obligation to update such opinions to reflect any facts or circumstances which may hereafter come to our attention or any changes in the law which may hereafter occur. This opinion is intended solely for the benefit and use of the Company, and is not to be used, released, quoted or relied upon by anyone else for any purpose (other than as required by law) without our prior written consent. We hereby consent to the filing of this opinion as an exhibit to the Registration Statement and the references to this firm in the section of the Registration Statement entitled “Legal Matters”. In giving this consent we do not admit that we are within the category of persons whose consent is required by Section 7 of the Securities Act.</w:t>
      </w:r>
    </w:p>
    <w:p>
      <w:pPr>
        <w:spacing w:after="0" w:line="19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u w:val="single" w:color="auto"/>
          <w:color w:val="auto"/>
        </w:rPr>
        <w:t>/s/ Zysman, Aharoni, Gayer &amp; Co., Law Offices</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Zysman, Aharoni, Gayer &amp; Co., Law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908" w:right="31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u w:val="single" w:color="auto"/>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consent to the reference to our firm under the caption “Experts” in the Registration Statement on Form F-3 and to the incorporation by reference therein of our report dated March 27, 2014, with respect to the consolidated financial statements of Alcobra Ltd. included in the Annual Report on Form 20-F of Alcobra Ltd. for the year ended December 31, 2013, filed with the Securities and Exchange Commission.</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80" w:type="dxa"/>
            <w:vAlign w:val="bottom"/>
            <w:vMerge w:val="restart"/>
          </w:tcPr>
          <w:p>
            <w:pPr>
              <w:spacing w:after="0"/>
              <w:rPr>
                <w:sz w:val="20"/>
                <w:szCs w:val="20"/>
                <w:color w:val="auto"/>
              </w:rPr>
            </w:pPr>
            <w:r>
              <w:rPr>
                <w:rFonts w:ascii="Arial" w:cs="Arial" w:eastAsia="Arial" w:hAnsi="Arial"/>
                <w:sz w:val="18"/>
                <w:szCs w:val="18"/>
                <w:color w:val="auto"/>
              </w:rPr>
              <w:t>Tel Aviv, Israel</w:t>
            </w:r>
          </w:p>
        </w:tc>
        <w:tc>
          <w:tcPr>
            <w:tcW w:w="7340" w:type="dxa"/>
            <w:vAlign w:val="bottom"/>
            <w:gridSpan w:val="3"/>
          </w:tcPr>
          <w:p>
            <w:pPr>
              <w:jc w:val="center"/>
              <w:ind w:left="1550"/>
              <w:spacing w:after="0"/>
              <w:rPr>
                <w:sz w:val="20"/>
                <w:szCs w:val="20"/>
                <w:color w:val="auto"/>
              </w:rPr>
            </w:pPr>
            <w:r>
              <w:rPr>
                <w:rFonts w:ascii="Arial" w:cs="Arial" w:eastAsia="Arial" w:hAnsi="Arial"/>
                <w:sz w:val="18"/>
                <w:szCs w:val="18"/>
                <w:color w:val="auto"/>
                <w:w w:val="90"/>
              </w:rPr>
              <w:t>/s/ Kost, Forer, Gabbay &amp; Kasierer</w:t>
            </w:r>
          </w:p>
        </w:tc>
        <w:tc>
          <w:tcPr>
            <w:tcW w:w="0" w:type="dxa"/>
            <w:vAlign w:val="bottom"/>
          </w:tcPr>
          <w:p>
            <w:pPr>
              <w:spacing w:after="0"/>
              <w:rPr>
                <w:sz w:val="1"/>
                <w:szCs w:val="1"/>
                <w:color w:val="auto"/>
              </w:rPr>
            </w:pPr>
          </w:p>
        </w:tc>
      </w:tr>
      <w:tr>
        <w:trPr>
          <w:trHeight w:val="20"/>
        </w:trPr>
        <w:tc>
          <w:tcPr>
            <w:tcW w:w="4080" w:type="dxa"/>
            <w:vAlign w:val="bottom"/>
            <w:vMerge w:val="continue"/>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4080" w:type="dxa"/>
            <w:vAlign w:val="bottom"/>
            <w:vMerge w:val="continue"/>
          </w:tcPr>
          <w:p>
            <w:pPr>
              <w:spacing w:after="0"/>
              <w:rPr>
                <w:sz w:val="9"/>
                <w:szCs w:val="9"/>
                <w:color w:val="auto"/>
              </w:rPr>
            </w:pPr>
          </w:p>
        </w:tc>
        <w:tc>
          <w:tcPr>
            <w:tcW w:w="7340" w:type="dxa"/>
            <w:vAlign w:val="bottom"/>
            <w:gridSpan w:val="3"/>
            <w:vMerge w:val="restart"/>
          </w:tcPr>
          <w:p>
            <w:pPr>
              <w:jc w:val="center"/>
              <w:ind w:left="1550"/>
              <w:spacing w:after="0"/>
              <w:rPr>
                <w:sz w:val="20"/>
                <w:szCs w:val="20"/>
                <w:color w:val="auto"/>
              </w:rPr>
            </w:pPr>
            <w:r>
              <w:rPr>
                <w:rFonts w:ascii="Arial" w:cs="Arial" w:eastAsia="Arial" w:hAnsi="Arial"/>
                <w:sz w:val="18"/>
                <w:szCs w:val="18"/>
                <w:color w:val="auto"/>
                <w:w w:val="95"/>
              </w:rPr>
              <w:t>KOST, FORER, GABBAY &amp; KASIERER</w:t>
            </w:r>
          </w:p>
        </w:tc>
        <w:tc>
          <w:tcPr>
            <w:tcW w:w="0" w:type="dxa"/>
            <w:vAlign w:val="bottom"/>
          </w:tcPr>
          <w:p>
            <w:pPr>
              <w:spacing w:after="0"/>
              <w:rPr>
                <w:sz w:val="1"/>
                <w:szCs w:val="1"/>
                <w:color w:val="auto"/>
              </w:rPr>
            </w:pPr>
          </w:p>
        </w:tc>
      </w:tr>
      <w:tr>
        <w:trPr>
          <w:trHeight w:val="108"/>
        </w:trPr>
        <w:tc>
          <w:tcPr>
            <w:tcW w:w="4080" w:type="dxa"/>
            <w:vAlign w:val="bottom"/>
            <w:vMerge w:val="restart"/>
          </w:tcPr>
          <w:p>
            <w:pPr>
              <w:spacing w:after="0"/>
              <w:rPr>
                <w:sz w:val="20"/>
                <w:szCs w:val="20"/>
                <w:color w:val="auto"/>
              </w:rPr>
            </w:pPr>
            <w:r>
              <w:rPr>
                <w:rFonts w:ascii="Arial" w:cs="Arial" w:eastAsia="Arial" w:hAnsi="Arial"/>
                <w:sz w:val="18"/>
                <w:szCs w:val="18"/>
                <w:color w:val="auto"/>
              </w:rPr>
              <w:t>July 11, 2014</w:t>
            </w:r>
          </w:p>
        </w:tc>
        <w:tc>
          <w:tcPr>
            <w:tcW w:w="73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4080" w:type="dxa"/>
            <w:vAlign w:val="bottom"/>
            <w:vMerge w:val="continue"/>
          </w:tcPr>
          <w:p>
            <w:pPr>
              <w:spacing w:after="0"/>
              <w:rPr>
                <w:sz w:val="10"/>
                <w:szCs w:val="10"/>
                <w:color w:val="auto"/>
              </w:rPr>
            </w:pPr>
          </w:p>
        </w:tc>
        <w:tc>
          <w:tcPr>
            <w:tcW w:w="3240" w:type="dxa"/>
            <w:vAlign w:val="bottom"/>
          </w:tcPr>
          <w:p>
            <w:pPr>
              <w:spacing w:after="0"/>
              <w:rPr>
                <w:sz w:val="10"/>
                <w:szCs w:val="10"/>
                <w:color w:val="auto"/>
              </w:rPr>
            </w:pPr>
          </w:p>
        </w:tc>
        <w:tc>
          <w:tcPr>
            <w:tcW w:w="4100" w:type="dxa"/>
            <w:vAlign w:val="bottom"/>
            <w:gridSpan w:val="2"/>
            <w:vMerge w:val="restart"/>
          </w:tcPr>
          <w:p>
            <w:pPr>
              <w:jc w:val="center"/>
              <w:ind w:right="1580"/>
              <w:spacing w:after="0"/>
              <w:rPr>
                <w:sz w:val="20"/>
                <w:szCs w:val="20"/>
                <w:color w:val="auto"/>
              </w:rPr>
            </w:pPr>
            <w:r>
              <w:rPr>
                <w:rFonts w:ascii="Arial" w:cs="Arial" w:eastAsia="Arial" w:hAnsi="Arial"/>
                <w:sz w:val="18"/>
                <w:szCs w:val="18"/>
                <w:color w:val="auto"/>
                <w:w w:val="95"/>
              </w:rPr>
              <w:t>A Member of EY Global</w:t>
            </w:r>
          </w:p>
        </w:tc>
        <w:tc>
          <w:tcPr>
            <w:tcW w:w="0" w:type="dxa"/>
            <w:vAlign w:val="bottom"/>
          </w:tcPr>
          <w:p>
            <w:pPr>
              <w:spacing w:after="0"/>
              <w:rPr>
                <w:sz w:val="1"/>
                <w:szCs w:val="1"/>
                <w:color w:val="auto"/>
              </w:rPr>
            </w:pPr>
          </w:p>
        </w:tc>
      </w:tr>
      <w:tr>
        <w:trPr>
          <w:trHeight w:val="108"/>
        </w:trPr>
        <w:tc>
          <w:tcPr>
            <w:tcW w:w="4080" w:type="dxa"/>
            <w:vAlign w:val="bottom"/>
          </w:tcPr>
          <w:p>
            <w:pPr>
              <w:spacing w:after="0"/>
              <w:rPr>
                <w:sz w:val="9"/>
                <w:szCs w:val="9"/>
                <w:color w:val="auto"/>
              </w:rPr>
            </w:pPr>
          </w:p>
        </w:tc>
        <w:tc>
          <w:tcPr>
            <w:tcW w:w="3240" w:type="dxa"/>
            <w:vAlign w:val="bottom"/>
          </w:tcPr>
          <w:p>
            <w:pPr>
              <w:spacing w:after="0"/>
              <w:rPr>
                <w:sz w:val="9"/>
                <w:szCs w:val="9"/>
                <w:color w:val="auto"/>
              </w:rPr>
            </w:pPr>
          </w:p>
        </w:tc>
        <w:tc>
          <w:tcPr>
            <w:tcW w:w="41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8"/>
        </w:trPr>
        <w:tc>
          <w:tcPr>
            <w:tcW w:w="408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1)"/>
      <w:numFmt w:val="decimal"/>
      <w:start w:val="1"/>
    </w:lvl>
  </w:abstractNum>
  <w:abstractNum w:abstractNumId="1">
    <w:nsid w:val="1F16E9E8"/>
    <w:multiLevelType w:val="hybridMultilevel"/>
    <w:lvl w:ilvl="0">
      <w:lvlJc w:val="left"/>
      <w:lvlText w:val="(%1)"/>
      <w:numFmt w:val="decimal"/>
      <w:start w:val="2"/>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lvl w:ilvl="1">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9"/>
    </w:lvl>
  </w:abstractNum>
  <w:abstractNum w:abstractNumId="14">
    <w:nsid w:val="519B500D"/>
    <w:multiLevelType w:val="hybridMultilevel"/>
    <w:lvl w:ilvl="0">
      <w:lvlJc w:val="left"/>
      <w:lvlText w:val="%1"/>
      <w:numFmt w:val="decimal"/>
      <w:start w:val="1"/>
    </w:lvl>
    <w:lvl w:ilvl="1">
      <w:lvlJc w:val="left"/>
      <w:lvlText w:val="(%2)"/>
      <w:numFmt w:val="lowerRoman"/>
      <w:start w:val="2"/>
    </w:lvl>
    <w:lvl w:ilvl="2">
      <w:lvlJc w:val="left"/>
      <w:lvlText w:val="%3"/>
      <w:numFmt w:val="upperLetter"/>
      <w:start w:val="1"/>
    </w:lvl>
  </w:abstractNum>
  <w:abstractNum w:abstractNumId="15">
    <w:nsid w:val="431BD7B7"/>
    <w:multiLevelType w:val="hybridMultilevel"/>
    <w:lvl w:ilvl="0">
      <w:lvlJc w:val="left"/>
      <w:lvlText w:val="(%1)"/>
      <w:numFmt w:val="decimal"/>
      <w:start w:val="2"/>
    </w:lvl>
    <w:lvl w:ilvl="1">
      <w:lvlJc w:val="left"/>
      <w:lvlText w:val="(%2)"/>
      <w:numFmt w:val="lowerRoman"/>
      <w:start w:val="1"/>
    </w:lvl>
    <w:lvl w:ilvl="2">
      <w:lvlJc w:val="left"/>
      <w:lvlText w:val="(%3)"/>
      <w:numFmt w:val="upperLetter"/>
      <w:start w:val="1"/>
    </w:lvl>
  </w:abstractNum>
  <w:abstractNum w:abstractNumId="16">
    <w:nsid w:val="3F2DBA31"/>
    <w:multiLevelType w:val="hybridMultilevel"/>
    <w:lvl w:ilvl="0">
      <w:lvlJc w:val="left"/>
      <w:lvlText w:val="%1"/>
      <w:numFmt w:val="decimal"/>
      <w:start w:val="1"/>
    </w:lvl>
    <w:lvl w:ilvl="1">
      <w:lvlJc w:val="left"/>
      <w:lvlText w:val="(%2)"/>
      <w:numFmt w:val="lowerRoman"/>
      <w:start w:val="2"/>
    </w:lvl>
  </w:abstractNum>
  <w:abstractNum w:abstractNumId="17">
    <w:nsid w:val="7C83E458"/>
    <w:multiLevelType w:val="hybridMultilevel"/>
    <w:lvl w:ilvl="0">
      <w:lvlJc w:val="left"/>
      <w:lvlText w:val="(%1)"/>
      <w:numFmt w:val="decimal"/>
      <w:start w:val="6"/>
    </w:lvl>
    <w:lvl w:ilvl="1">
      <w:lvlJc w:val="left"/>
      <w:lvlText w:val="%2"/>
      <w:numFmt w:val="lowerRoman"/>
      <w:start w:val="1"/>
    </w:lvl>
  </w:abstractNum>
  <w:abstractNum w:abstractNumId="18">
    <w:nsid w:val="257130A3"/>
    <w:multiLevelType w:val="hybridMultilevel"/>
    <w:lvl w:ilvl="0">
      <w:lvlJc w:val="left"/>
      <w:lvlText w:val="(%1)"/>
      <w:numFmt w:val="lowerLetter"/>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2019-12-08T06:17:44Z</dcterms:created>
  <dcterms:modified xsi:type="dcterms:W3CDTF">2019-12-08T06:17:44Z</dcterms:modified>
</cp:coreProperties>
</file>