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695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69570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Parschauer Karah Herdman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400" w:type="dxa"/>
            <w:vAlign w:val="bottom"/>
            <w:tcBorders>
              <w:top w:val="single" w:sz="8" w:color="0000EE"/>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06/19/2019</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Arcturus Therapeutics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ARCT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20" w:type="dxa"/>
            <w:vAlign w:val="bottom"/>
          </w:tcPr>
          <w:p>
            <w:pPr>
              <w:ind w:left="8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w w:val="98"/>
              </w:rPr>
              <w:t>10628 SCIENCE CENTER DRIVE, #250</w:t>
            </w:r>
          </w:p>
        </w:tc>
      </w:tr>
      <w:tr>
        <w:trPr>
          <w:trHeight w:val="212"/>
        </w:trPr>
        <w:tc>
          <w:tcPr>
            <w:tcW w:w="20" w:type="dxa"/>
            <w:vAlign w:val="bottom"/>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2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w w:val="99"/>
              </w:rPr>
              <w:t>SAN DIEGO</w:t>
            </w:r>
          </w:p>
        </w:tc>
        <w:tc>
          <w:tcPr>
            <w:tcW w:w="820" w:type="dxa"/>
            <w:vAlign w:val="bottom"/>
          </w:tcPr>
          <w:p>
            <w:pPr>
              <w:ind w:left="80"/>
              <w:spacing w:after="0"/>
              <w:rPr>
                <w:sz w:val="20"/>
                <w:szCs w:val="20"/>
                <w:color w:val="auto"/>
              </w:rPr>
            </w:pPr>
            <w:r>
              <w:rPr>
                <w:rFonts w:ascii="Arial" w:cs="Arial" w:eastAsia="Arial" w:hAnsi="Arial"/>
                <w:sz w:val="18"/>
                <w:szCs w:val="18"/>
                <w:color w:val="0000FF"/>
              </w:rPr>
              <w:t>CA</w:t>
            </w:r>
          </w:p>
        </w:tc>
        <w:tc>
          <w:tcPr>
            <w:tcW w:w="1380" w:type="dxa"/>
            <w:vAlign w:val="bottom"/>
          </w:tcPr>
          <w:p>
            <w:pPr>
              <w:ind w:left="340"/>
              <w:spacing w:after="0"/>
              <w:rPr>
                <w:sz w:val="20"/>
                <w:szCs w:val="20"/>
                <w:color w:val="auto"/>
              </w:rPr>
            </w:pPr>
            <w:r>
              <w:rPr>
                <w:rFonts w:ascii="Arial" w:cs="Arial" w:eastAsia="Arial" w:hAnsi="Arial"/>
                <w:sz w:val="18"/>
                <w:szCs w:val="18"/>
                <w:color w:val="0000FF"/>
              </w:rPr>
              <w:t>92121</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(City)</w:t>
            </w:r>
          </w:p>
        </w:tc>
        <w:tc>
          <w:tcPr>
            <w:tcW w:w="820" w:type="dxa"/>
            <w:vAlign w:val="bottom"/>
          </w:tcPr>
          <w:p>
            <w:pPr>
              <w:ind w:left="8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32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58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3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0000FF"/>
              </w:rPr>
              <w:t>/s/ Karah Parschauer</w:t>
            </w:r>
          </w:p>
        </w:tc>
        <w:tc>
          <w:tcPr>
            <w:tcW w:w="2520" w:type="dxa"/>
            <w:vAlign w:val="bottom"/>
            <w:gridSpan w:val="4"/>
          </w:tcPr>
          <w:p>
            <w:pPr>
              <w:ind w:left="260"/>
              <w:spacing w:after="0"/>
              <w:rPr>
                <w:sz w:val="20"/>
                <w:szCs w:val="20"/>
                <w:color w:val="auto"/>
              </w:rPr>
            </w:pPr>
            <w:r>
              <w:rPr>
                <w:rFonts w:ascii="Arial" w:cs="Arial" w:eastAsia="Arial" w:hAnsi="Arial"/>
                <w:sz w:val="18"/>
                <w:szCs w:val="18"/>
                <w:color w:val="0000FF"/>
              </w:rPr>
              <w:t>06/26/2019</w:t>
            </w: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60" w:type="dxa"/>
            <w:vAlign w:val="bottom"/>
            <w:gridSpan w:val="2"/>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ind w:left="860"/>
        <w:spacing w:after="0" w:line="238" w:lineRule="auto"/>
        <w:rPr>
          <w:sz w:val="20"/>
          <w:szCs w:val="20"/>
          <w:color w:val="auto"/>
        </w:rPr>
      </w:pPr>
      <w:r>
        <w:rPr>
          <w:rFonts w:ascii="Courier New" w:cs="Courier New" w:eastAsia="Courier New" w:hAnsi="Courier New"/>
          <w:sz w:val="18"/>
          <w:szCs w:val="18"/>
          <w:color w:val="auto"/>
        </w:rPr>
        <w:t>FOR SEC FILINGS ON FORMS ID, 3, 4, 5, 144, SCHEDULES 13D and 13G</w:t>
      </w:r>
    </w:p>
    <w:p>
      <w:pPr>
        <w:ind w:left="2740"/>
        <w:spacing w:after="0"/>
        <w:rPr>
          <w:sz w:val="20"/>
          <w:szCs w:val="20"/>
          <w:color w:val="auto"/>
        </w:rPr>
      </w:pPr>
      <w:r>
        <w:rPr>
          <w:rFonts w:ascii="Courier New" w:cs="Courier New" w:eastAsia="Courier New" w:hAnsi="Courier New"/>
          <w:sz w:val="18"/>
          <w:szCs w:val="18"/>
          <w:color w:val="auto"/>
        </w:rPr>
        <w:t>IN RESPECT OF SECURITIES OF</w:t>
      </w:r>
    </w:p>
    <w:p>
      <w:pPr>
        <w:ind w:left="2440"/>
        <w:spacing w:after="0" w:line="237" w:lineRule="auto"/>
        <w:rPr>
          <w:sz w:val="20"/>
          <w:szCs w:val="20"/>
          <w:color w:val="auto"/>
        </w:rPr>
      </w:pPr>
      <w:r>
        <w:rPr>
          <w:rFonts w:ascii="Courier New" w:cs="Courier New" w:eastAsia="Courier New" w:hAnsi="Courier New"/>
          <w:sz w:val="18"/>
          <w:szCs w:val="18"/>
          <w:color w:val="auto"/>
        </w:rPr>
        <w:t>ARCTURUS THERAPEUTICS HOLDINGS INC.</w:t>
      </w:r>
    </w:p>
    <w:p>
      <w:pPr>
        <w:spacing w:after="0" w:line="207" w:lineRule="exact"/>
        <w:rPr>
          <w:sz w:val="20"/>
          <w:szCs w:val="20"/>
          <w:color w:val="auto"/>
        </w:rPr>
      </w:pPr>
    </w:p>
    <w:p>
      <w:pPr>
        <w:ind w:right="1779" w:firstLine="632"/>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Jeffrey Baumel and Ilan Katz as her true and lawful attorneys-in-fact and agents, each with full power of substitution and resubstitution for her in her name and stead in any and all capacities, to sign and file for and on her behalf, in respect of any acquisition, disposition or other change in ownership of any Common Stock or derivative securities thereof of Arcturus Therapeutics Holdings Inc. (the "Company"), the following:</w:t>
      </w:r>
    </w:p>
    <w:p>
      <w:pPr>
        <w:spacing w:after="0" w:line="211" w:lineRule="exact"/>
        <w:rPr>
          <w:sz w:val="20"/>
          <w:szCs w:val="20"/>
          <w:color w:val="auto"/>
        </w:rPr>
      </w:pPr>
    </w:p>
    <w:p>
      <w:pPr>
        <w:ind w:left="1380" w:right="177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Form ID to be filed with the Securities and Exchange Commission (the "SEC");</w:t>
      </w:r>
    </w:p>
    <w:p>
      <w:pPr>
        <w:spacing w:after="0" w:line="208" w:lineRule="exact"/>
        <w:rPr>
          <w:rFonts w:ascii="Courier New" w:cs="Courier New" w:eastAsia="Courier New" w:hAnsi="Courier New"/>
          <w:sz w:val="18"/>
          <w:szCs w:val="18"/>
          <w:color w:val="auto"/>
        </w:rPr>
      </w:pPr>
    </w:p>
    <w:p>
      <w:pPr>
        <w:ind w:left="1380" w:right="177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Initial Statement of Beneficial Ownership of Securities on Form 3 to be filed with the SEC;</w:t>
      </w:r>
    </w:p>
    <w:p>
      <w:pPr>
        <w:spacing w:after="0" w:line="208" w:lineRule="exact"/>
        <w:rPr>
          <w:rFonts w:ascii="Courier New" w:cs="Courier New" w:eastAsia="Courier New" w:hAnsi="Courier New"/>
          <w:sz w:val="18"/>
          <w:szCs w:val="18"/>
          <w:color w:val="auto"/>
        </w:rPr>
      </w:pPr>
    </w:p>
    <w:p>
      <w:pPr>
        <w:ind w:left="1380" w:right="199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Statement of Changes of Beneficial Ownership of Securities on Form 4 to be filed with the SEC;</w:t>
      </w:r>
    </w:p>
    <w:p>
      <w:pPr>
        <w:spacing w:after="0" w:line="208" w:lineRule="exact"/>
        <w:rPr>
          <w:rFonts w:ascii="Courier New" w:cs="Courier New" w:eastAsia="Courier New" w:hAnsi="Courier New"/>
          <w:sz w:val="18"/>
          <w:szCs w:val="18"/>
          <w:color w:val="auto"/>
        </w:rPr>
      </w:pPr>
    </w:p>
    <w:p>
      <w:pPr>
        <w:ind w:left="1380" w:right="187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Annual Statement of Beneficial Ownership of Securities on Form 5 to be filed with the SEC;</w:t>
      </w:r>
    </w:p>
    <w:p>
      <w:pPr>
        <w:spacing w:after="0" w:line="208" w:lineRule="exact"/>
        <w:rPr>
          <w:rFonts w:ascii="Courier New" w:cs="Courier New" w:eastAsia="Courier New" w:hAnsi="Courier New"/>
          <w:sz w:val="18"/>
          <w:szCs w:val="18"/>
          <w:color w:val="auto"/>
        </w:rPr>
      </w:pPr>
    </w:p>
    <w:p>
      <w:pPr>
        <w:ind w:left="1380" w:right="1999" w:hanging="635"/>
        <w:spacing w:after="0" w:line="235"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of Proposed Sale of Securities on Form 144 to be filed with the SEC;</w:t>
      </w:r>
    </w:p>
    <w:p>
      <w:pPr>
        <w:spacing w:after="0" w:line="208" w:lineRule="exact"/>
        <w:rPr>
          <w:rFonts w:ascii="Courier New" w:cs="Courier New" w:eastAsia="Courier New" w:hAnsi="Courier New"/>
          <w:sz w:val="18"/>
          <w:szCs w:val="18"/>
          <w:color w:val="auto"/>
        </w:rPr>
      </w:pPr>
    </w:p>
    <w:p>
      <w:pPr>
        <w:ind w:left="1380" w:right="1779" w:hanging="635"/>
        <w:spacing w:after="0" w:line="237"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any other forms or reports the undersigned may be required to file in connection with the undersigned's ownership, acquisition or disposition of securities of the Company, including Schedules 13G and 13D; and</w:t>
      </w:r>
    </w:p>
    <w:p>
      <w:pPr>
        <w:spacing w:after="0" w:line="207" w:lineRule="exact"/>
        <w:rPr>
          <w:rFonts w:ascii="Courier New" w:cs="Courier New" w:eastAsia="Courier New" w:hAnsi="Courier New"/>
          <w:sz w:val="18"/>
          <w:szCs w:val="18"/>
          <w:color w:val="auto"/>
        </w:rPr>
      </w:pPr>
    </w:p>
    <w:p>
      <w:pPr>
        <w:ind w:left="1380" w:right="1779" w:hanging="635"/>
        <w:spacing w:after="0" w:line="270" w:lineRule="auto"/>
        <w:tabs>
          <w:tab w:leader="none" w:pos="138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and all agreements, certificates, receipts, or other documents in connection therewith. The undersigned hereby gives full power and authority to each attorney-in-fact to seek and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such information to the undersigned and approves and ratifies any such release of information. The undersigned hereby grants unto each attorney-in-fact and agent full power and authority to do and perform each and every act and thing requisite and necessary in connection with such matters and hereby ratifies and confirms all that any such attorney-in-fact and agent or substitute may do or cause to be done by virtue hereof. The undersigned acknowledges that:</w:t>
      </w:r>
    </w:p>
    <w:p>
      <w:pPr>
        <w:spacing w:after="0" w:line="386" w:lineRule="exact"/>
        <w:rPr>
          <w:rFonts w:ascii="Courier New" w:cs="Courier New" w:eastAsia="Courier New" w:hAnsi="Courier New"/>
          <w:sz w:val="16"/>
          <w:szCs w:val="16"/>
          <w:color w:val="auto"/>
        </w:rPr>
      </w:pPr>
    </w:p>
    <w:p>
      <w:pPr>
        <w:ind w:left="2000" w:hanging="623"/>
        <w:spacing w:after="0"/>
        <w:tabs>
          <w:tab w:leader="none" w:pos="200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such attorney-in-fact assumes</w:t>
      </w:r>
    </w:p>
    <w:p>
      <w:pPr>
        <w:spacing w:after="0" w:line="16" w:lineRule="exact"/>
        <w:rPr>
          <w:rFonts w:ascii="Courier New" w:cs="Courier New" w:eastAsia="Courier New" w:hAnsi="Courier New"/>
          <w:sz w:val="16"/>
          <w:szCs w:val="16"/>
          <w:color w:val="auto"/>
        </w:rPr>
      </w:pPr>
    </w:p>
    <w:p>
      <w:pPr>
        <w:ind w:left="2440" w:hanging="430"/>
        <w:spacing w:after="0" w:line="238" w:lineRule="auto"/>
        <w:tabs>
          <w:tab w:leader="none" w:pos="2440" w:val="left"/>
        </w:tabs>
        <w:numPr>
          <w:ilvl w:val="2"/>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liability for the undersigned's responsibility to</w:t>
      </w:r>
    </w:p>
    <w:p>
      <w:pPr>
        <w:spacing w:after="0" w:line="4" w:lineRule="exact"/>
        <w:rPr>
          <w:rFonts w:ascii="Courier New" w:cs="Courier New" w:eastAsia="Courier New" w:hAnsi="Courier New"/>
          <w:sz w:val="18"/>
          <w:szCs w:val="18"/>
          <w:color w:val="auto"/>
        </w:rPr>
      </w:pPr>
    </w:p>
    <w:p>
      <w:pPr>
        <w:ind w:left="2000" w:right="17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comply with the requirement of the Securities Exchange Act of 1934, as amended (the "Exchange Act"), (ii) any liability of the undersigned for any failure to comply with such requirements or (iii) any obligation or liability of the undersigned for profit disgorgement under Section 16(b) of the Exchange Act; and</w:t>
      </w:r>
    </w:p>
    <w:p>
      <w:pPr>
        <w:spacing w:after="0" w:line="209" w:lineRule="exact"/>
        <w:rPr>
          <w:rFonts w:ascii="Courier New" w:cs="Courier New" w:eastAsia="Courier New" w:hAnsi="Courier New"/>
          <w:sz w:val="18"/>
          <w:szCs w:val="18"/>
          <w:color w:val="auto"/>
        </w:rPr>
      </w:pPr>
    </w:p>
    <w:p>
      <w:pPr>
        <w:ind w:left="2000" w:right="1779" w:hanging="623"/>
        <w:spacing w:after="0" w:line="237" w:lineRule="auto"/>
        <w:tabs>
          <w:tab w:leader="none" w:pos="200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does not relieve the undersigned from responsibility for compliance with the undersigned's obligations under the Exchange Act, including without limitation the reporting requirements under Section 16 of the Exchange Act. This Power of Attorney shall remain in full force and effect until revoked by the undersigned in a signed writing delivered to such attorney-in-fact.</w:t>
      </w:r>
    </w:p>
    <w:p>
      <w:pPr>
        <w:spacing w:after="0" w:line="200" w:lineRule="exact"/>
        <w:rPr>
          <w:sz w:val="20"/>
          <w:szCs w:val="20"/>
          <w:color w:val="auto"/>
        </w:rPr>
      </w:pPr>
    </w:p>
    <w:p>
      <w:pPr>
        <w:spacing w:after="0" w:line="208"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 Page Follows]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 WITNESS WHEREOF, the undersigned has executed this Power of Attorney.</w:t>
      </w:r>
    </w:p>
    <w:p>
      <w:pPr>
        <w:sectPr>
          <w:pgSz w:w="11900" w:h="16838" w:orient="portrait"/>
          <w:cols w:equalWidth="0" w:num="1">
            <w:col w:w="10219"/>
          </w:cols>
          <w:pgMar w:left="240" w:top="136" w:right="1440" w:bottom="55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26,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Karah Parschauer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Karah Parschauer</w:t>
      </w:r>
    </w:p>
    <w:p>
      <w:pPr>
        <w:sectPr>
          <w:pgSz w:w="11900" w:h="16838" w:orient="portrait"/>
          <w:cols w:equalWidth="0" w:num="3">
            <w:col w:w="540" w:space="200"/>
            <w:col w:w="3280" w:space="720"/>
            <w:col w:w="5479"/>
          </w:cols>
          <w:pgMar w:left="240" w:top="136" w:right="1440" w:bottom="554"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Roman"/>
      <w:start w:val="1"/>
    </w:lvl>
    <w:lvl w:ilvl="1">
      <w:lvlJc w:val="left"/>
      <w:lvlText w:val="(%2)"/>
      <w:numFmt w:val="lowerRoman"/>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677455" TargetMode="External"/><Relationship Id="rId12" Type="http://schemas.openxmlformats.org/officeDocument/2006/relationships/hyperlink" Target="http://www.sec.gov/cgi-bin/browse-edgar?action=getcompany&amp;CIK=000176822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2019-12-23T16:06:41Z</dcterms:created>
  <dcterms:modified xsi:type="dcterms:W3CDTF">2019-12-23T16:06:41Z</dcterms:modified>
</cp:coreProperties>
</file>