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27,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001-38942</w:t>
      </w:r>
    </w:p>
    <w:p>
      <w:pPr>
        <w:spacing w:after="0" w:line="27"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64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32-0595345</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680" w:space="720"/>
            <w:col w:w="2680" w:space="720"/>
            <w:col w:w="2440"/>
          </w:cols>
          <w:pgMar w:left="320" w:top="472" w:right="3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10628 Science Center Drive, Suite 250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472"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On March 27, 2020, Arcturus Therapeutics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Sales Agreement (the “Agreement”) with Stifel, Nicolaus &amp; Company, Incorporated, as agent (“Stifel”). Under the Agreement, the Company may offer and sell its common stock, par value $0.001 per share, from time to time having an aggregate offering price of up to $40,000,000 (the “Shares”) during the term of the Agreement through Stifel, acting as agent. The Company has filed a prospectus supplement relating to the offer and sale of the Shares pursuant to the Agreement. The Shares will be issued pursuant to the Company’s previously filed and effective Registration Statement on Form S-3 (File No. 333-232281), which was initially filed with the Securities and Exchange Commission (the “SEC”) on June 21, 2019, amended on June 26, 2019 and declared effective on July 29, 2019. The Company intends to use the net proceeds from the offering, if any, to develop RNA medicines and for general corporate and working capital purposes.</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is not obligated to sell any Shares pursuant to the Agreement. Subject to the terms and conditions of the Agreement, Stifel will use commercially reasonable efforts, consistent with its normal trading and sales practices and applicable state and federal law, rules and regulations and the rules of the Nasdaq Global Market (“Nasdaq”), to sell Shares from time to time based upon the Company’s instructions, including any price, time or size limits or other customary parameters or conditions the Company may impose.</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Under the Agreement, Stifel may sell Shares by any method permitted by law deemed to be an “at the market offering” as defined in Rule 415 of the Securities Act of 1933, as amended, and the rules and regulations thereunder, including, without limitation, sales made directly on or through Nasdaq, on or through any other existing trading market for the Shares or to or through a market maker. If expressly authorized by the Company, Stifel may also sell Shares by any other method permitted by law, including but not limited to privately negotiated transactions.</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Agreement will terminate upon the earlier of (i) the issuance and sale of all of the Shares through Stifel on the terms and subject to the conditions set forth in the Agreement or (ii) termination of the Agreement as otherwise permitted thereby. The Agreement may be terminated at any time by either party upon ten days’ prior notice, or by Stifel at any time in certain circumstances, including the occurrence of a material adverse effect on the Company.</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agreed to pay Stifel a commission equal to 3.0% of the gross proceeds from the sales of Shares pursuant to the Agreement and has agreed to provide Stifel with customary indemnification and contribution rights.</w:t>
      </w:r>
    </w:p>
    <w:p>
      <w:pPr>
        <w:spacing w:after="0" w:line="17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foregoing summary of the Agreement does not purport to be complete and is qualified in its entirety by reference to the full text of the Agreement, a copy of which is filed as Exhibit 10.1 hereto and incorporated herein by reference. The Agreement contains representations and warranties that the parties made to, and solely for the benefit of, the other in the context of all of the terms and conditions of the Agreement and in the context of the specific relationship between the parties. The provisions of the Agreement, including the representations and warranties contained therein, are not for the benefit of any party other than the parties to the Agreement and are not intended as a document for investors and the public to obtain factual information about the Company’s current state of affairs. Rather, investors and the public should look to other disclosures contained in the Company’s filings with the SEC.</w:t>
      </w:r>
    </w:p>
    <w:p>
      <w:pPr>
        <w:spacing w:after="0" w:line="19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opinion of the Company’s counsel regarding the validity of the Shares that may be issued pursuant to the Agreement is filed herewith as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both"/>
        <w:ind w:firstLine="648"/>
        <w:spacing w:after="0" w:line="263"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Shares, nor shall there be any sale of the Shares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0"/>
        <w:spacing w:after="0"/>
        <w:tabs>
          <w:tab w:leader="none" w:pos="5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17145</wp:posOffset>
            </wp:positionV>
            <wp:extent cx="6660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0515" cy="8255"/>
                    </a:xfrm>
                    <a:prstGeom prst="rect">
                      <a:avLst/>
                    </a:prstGeom>
                    <a:noFill/>
                  </pic:spPr>
                </pic:pic>
              </a:graphicData>
            </a:graphic>
          </wp:anchor>
        </w:drawing>
      </w:r>
    </w:p>
    <w:p>
      <w:pPr>
        <w:spacing w:after="0" w:line="7" w:lineRule="exact"/>
        <w:rPr>
          <w:sz w:val="20"/>
          <w:szCs w:val="20"/>
          <w:color w:val="auto"/>
        </w:rPr>
      </w:pPr>
    </w:p>
    <w:p>
      <w:pPr>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5">
        <w:r>
          <w:rPr>
            <w:rFonts w:ascii="Arial" w:cs="Arial" w:eastAsia="Arial" w:hAnsi="Arial"/>
            <w:sz w:val="16"/>
            <w:szCs w:val="16"/>
            <w:u w:val="single" w:color="auto"/>
            <w:color w:val="0000EE"/>
          </w:rPr>
          <w:t>Opinion of Dentons US LLP</w:t>
        </w:r>
      </w:hyperlink>
    </w:p>
    <w:p>
      <w:pPr>
        <w:spacing w:after="0" w:line="23" w:lineRule="exact"/>
        <w:rPr>
          <w:sz w:val="20"/>
          <w:szCs w:val="20"/>
          <w:color w:val="auto"/>
        </w:rPr>
      </w:pPr>
    </w:p>
    <w:p>
      <w:pPr>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7">
        <w:r>
          <w:rPr>
            <w:rFonts w:ascii="Arial" w:cs="Arial" w:eastAsia="Arial" w:hAnsi="Arial"/>
            <w:sz w:val="16"/>
            <w:szCs w:val="16"/>
            <w:u w:val="single" w:color="auto"/>
            <w:color w:val="0000EE"/>
          </w:rPr>
          <w:t>Sales Agreement, dated as of March 27, 2020, between the Company and Stifel, Nicolaus &amp; Company, Incorporated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2020</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6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85875"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24003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20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Salans FMC SNR Denton McKenna Long</w:t>
      </w:r>
    </w:p>
    <w:p>
      <w:pPr>
        <w:spacing w:after="0" w:line="2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dentons.com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Arcturus Therapeutics Holdings Inc., Registration Statement on Form S-3 (File No. 333-232281)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our capacity as counsel to Arcturus Therapeutics Holdings Inc., a corporation organized under the laws of the State of Delaware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we have been asked to render this opinion in connection with a registration statement on Form S-3 (File No. 333-232281) (the “</w:t>
      </w:r>
      <w:r>
        <w:rPr>
          <w:rFonts w:ascii="Arial" w:cs="Arial" w:eastAsia="Arial" w:hAnsi="Arial"/>
          <w:sz w:val="16"/>
          <w:szCs w:val="16"/>
          <w:u w:val="single" w:color="auto"/>
          <w:color w:val="auto"/>
        </w:rPr>
        <w:t>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Statement</w:t>
      </w:r>
      <w:r>
        <w:rPr>
          <w:rFonts w:ascii="Arial" w:cs="Arial" w:eastAsia="Arial" w:hAnsi="Arial"/>
          <w:sz w:val="17"/>
          <w:szCs w:val="17"/>
          <w:color w:val="auto"/>
        </w:rPr>
        <w:t>”), which Registration Statement the Company initially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and the prospectus supplement filed pursuant to Rule 424(b) under the Act, dated March 27, 2020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under which up to $40,000,000 of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Company common stock, par value $0.001 per share, have been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registered, to be sold from time to time by the Company pursuant to the Sales Agreement, dated March 27, 2020, between the Company and Stifel,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Nicolaus &amp; Company, Incorporated.</w:t>
      </w:r>
    </w:p>
    <w:p>
      <w:pPr>
        <w:spacing w:after="0" w:line="21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Reference is made to our opinion letter dated June 25, 2019 and included as Exhibit 5.1 to the Registration Statement. We are delivering this supplemental opinion to you at your request in accordance with the requirements of Item 16 of Form S-3 and Item 601(b)(5) of Regulation S-K under the Act.</w:t>
      </w:r>
    </w:p>
    <w:p>
      <w:pPr>
        <w:spacing w:after="0" w:line="18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connection with rendering this opinion, we have examined originals, certified copies or copies otherwise identified as being true copies of the following: (i) the Company’s certificate of incorporation, as amended, (ii) the Company’s by-laws, as amended, (iii) the Registration Statement, including the prospectus contained therein (the “</w:t>
      </w:r>
      <w:r>
        <w:rPr>
          <w:rFonts w:ascii="Arial" w:cs="Arial" w:eastAsia="Arial" w:hAnsi="Arial"/>
          <w:sz w:val="18"/>
          <w:szCs w:val="18"/>
          <w:u w:val="single" w:color="auto"/>
          <w:color w:val="auto"/>
        </w:rPr>
        <w:t>Base Prospectus</w:t>
      </w:r>
      <w:r>
        <w:rPr>
          <w:rFonts w:ascii="Arial" w:cs="Arial" w:eastAsia="Arial" w:hAnsi="Arial"/>
          <w:sz w:val="18"/>
          <w:szCs w:val="18"/>
          <w:color w:val="auto"/>
        </w:rPr>
        <w:t>”), (iv) the Prospectus Supplement (the Base Prospectus and the Prospectus Supplement are collectively referred to herein as the “</w:t>
      </w:r>
      <w:r>
        <w:rPr>
          <w:rFonts w:ascii="Arial" w:cs="Arial" w:eastAsia="Arial" w:hAnsi="Arial"/>
          <w:sz w:val="18"/>
          <w:szCs w:val="18"/>
          <w:u w:val="single" w:color="auto"/>
          <w:color w:val="auto"/>
        </w:rPr>
        <w:t>Prospectus</w:t>
      </w:r>
      <w:r>
        <w:rPr>
          <w:rFonts w:ascii="Arial" w:cs="Arial" w:eastAsia="Arial" w:hAnsi="Arial"/>
          <w:sz w:val="18"/>
          <w:szCs w:val="18"/>
          <w:color w:val="auto"/>
        </w:rPr>
        <w:t>”), (v) corporate proceedings of the Company relating to the Shares and (vi) such other instruments and documents as we have deemed relevant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ind w:right="340" w:firstLine="648"/>
        <w:spacing w:after="0" w:line="277" w:lineRule="auto"/>
        <w:rPr>
          <w:sz w:val="20"/>
          <w:szCs w:val="20"/>
          <w:color w:val="auto"/>
        </w:rPr>
      </w:pPr>
      <w:r>
        <w:rPr>
          <w:rFonts w:ascii="Arial" w:cs="Arial" w:eastAsia="Arial" w:hAnsi="Arial"/>
          <w:sz w:val="18"/>
          <w:szCs w:val="18"/>
          <w:color w:val="auto"/>
        </w:rPr>
        <w:t>In making the aforesaid examinations, we have assumed the genuineness and authenticity of all documents examined by us and all signatures thereon, and the conformity to originals of all copies of all documents examined by us.</w:t>
      </w:r>
    </w:p>
    <w:p>
      <w:pPr>
        <w:spacing w:after="0" w:line="17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Based on the foregoing, and in reliance thereon, and subject to the qualifications, limitations and exceptions stated herein, we are of the opinion that the Shares have been duly authorized and, when issued and delivered by the Company against due payment therefor in accordance with the terms set forth in the Registration Statement and the Prospectus, will be validly issued, fully paid and non-assessable.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opinion is limited to the laws of the State of Delaware (excluding local laws) and the federal law of the United States of America.</w:t>
      </w:r>
    </w:p>
    <w:p>
      <w:pPr>
        <w:spacing w:after="0" w:line="2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hereby consent to the use of our opinion as an exhibit to the Registration Statement and to the reference to this firm and this opinion under the heading “Legal Matters” in the Prospectus comprising a part of the Registration Statement and any amendment thereto. In giving such consent, we do not hereby admit that we come within the category of persons whose consent is required under Section 7 of the Act, or the rules and regulations of the Commission thereunder.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Dentons US LLP</w:t>
      </w:r>
    </w:p>
    <w:p>
      <w:pPr>
        <w:sectPr>
          <w:pgSz w:w="11900" w:h="16838" w:orient="portrait"/>
          <w:cols w:equalWidth="0" w:num="1">
            <w:col w:w="11160"/>
          </w:cols>
          <w:pgMar w:left="320" w:top="341" w:right="4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($0.001 par value)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Arcturus Therapeutics Holdings Inc., a Delaware corporation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confirms its agreement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with Stifel, Nicolaus</w:t>
      </w:r>
    </w:p>
    <w:p>
      <w:pPr>
        <w:spacing w:after="0" w:line="50" w:lineRule="exact"/>
        <w:rPr>
          <w:sz w:val="20"/>
          <w:szCs w:val="20"/>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Incorporated (the “</w:t>
      </w:r>
      <w:r>
        <w:rPr>
          <w:rFonts w:ascii="Arial" w:cs="Arial" w:eastAsia="Arial" w:hAnsi="Arial"/>
          <w:sz w:val="18"/>
          <w:szCs w:val="18"/>
          <w:b w:val="1"/>
          <w:bCs w:val="1"/>
          <w:u w:val="single" w:color="auto"/>
          <w:color w:val="auto"/>
        </w:rPr>
        <w:t>Agent</w:t>
      </w:r>
      <w:r>
        <w:rPr>
          <w:rFonts w:ascii="Arial" w:cs="Arial" w:eastAsia="Arial" w:hAnsi="Arial"/>
          <w:sz w:val="18"/>
          <w:szCs w:val="18"/>
          <w:color w:val="auto"/>
        </w:rPr>
        <w:t>”), as follows:</w:t>
      </w:r>
    </w:p>
    <w:p>
      <w:pPr>
        <w:spacing w:after="0" w:line="210" w:lineRule="exact"/>
        <w:rPr>
          <w:rFonts w:ascii="Arial" w:cs="Arial" w:eastAsia="Arial" w:hAnsi="Arial"/>
          <w:sz w:val="18"/>
          <w:szCs w:val="18"/>
          <w:color w:val="auto"/>
        </w:rPr>
      </w:pPr>
    </w:p>
    <w:p>
      <w:pPr>
        <w:jc w:val="both"/>
        <w:ind w:firstLine="656"/>
        <w:spacing w:after="0" w:line="290" w:lineRule="auto"/>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Issuance and Sale of Shares</w:t>
      </w:r>
      <w:r>
        <w:rPr>
          <w:rFonts w:ascii="Arial" w:cs="Arial" w:eastAsia="Arial" w:hAnsi="Arial"/>
          <w:sz w:val="16"/>
          <w:szCs w:val="16"/>
          <w:color w:val="auto"/>
        </w:rPr>
        <w:t>. The Company agrees that, from time to time during the term of this Agreement, on the terms and subject to the conditions set forth herein, it may issue and sell through the Agent up to $40,000,000 of shares of common stock, $0.001 par value per share, of the Company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xml:space="preserve">”), subject to the limitations set forth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Placement Shares</w:t>
      </w:r>
      <w:r>
        <w:rPr>
          <w:rFonts w:ascii="Arial" w:cs="Arial" w:eastAsia="Arial" w:hAnsi="Arial"/>
          <w:sz w:val="16"/>
          <w:szCs w:val="16"/>
          <w:color w:val="auto"/>
        </w:rPr>
        <w:t xml:space="preserve">”). Notwithstanding anything to the contrary contained herein, the parties hereto agree that compliance with the limitation set forth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filed by the Company and declared effective by the Securities and Exchange Commission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on July 29, 2019, although nothing in this Agreement shall be construed as requiring the Company to issue any Placement Shares.</w:t>
      </w:r>
    </w:p>
    <w:p>
      <w:pPr>
        <w:spacing w:after="0" w:line="16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Company has prepared and filed, in accordance with the provisions of the Securities Act of 1933, as amended, and the rules and regulations thereunder (collectively,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with the Commission a registration statement on Form S-3 (File No. 333-232281),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The Company has prepared a prospectus supplement to the base prospectus included as part of the such registration statement at the time the registration statement became effective, which prospectus supplement specifically relates to the Placement Shares to be issued from time to time pursuant to this Agreement (the “</w:t>
      </w:r>
      <w:r>
        <w:rPr>
          <w:rFonts w:ascii="Arial" w:cs="Arial" w:eastAsia="Arial" w:hAnsi="Arial"/>
          <w:sz w:val="17"/>
          <w:szCs w:val="17"/>
          <w:b w:val="1"/>
          <w:bCs w:val="1"/>
          <w:u w:val="single" w:color="auto"/>
          <w:color w:val="auto"/>
        </w:rPr>
        <w:t>Prospectus Supplement</w:t>
      </w:r>
      <w:r>
        <w:rPr>
          <w:rFonts w:ascii="Arial" w:cs="Arial" w:eastAsia="Arial" w:hAnsi="Arial"/>
          <w:sz w:val="17"/>
          <w:szCs w:val="17"/>
          <w:color w:val="auto"/>
        </w:rPr>
        <w:t>”). The Company will furnish to the Agent, for use by the Agent, copies of the base prospectus included as part of such registration statement at the time it became effective, as supplemented by the Prospectus Supplement.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Arial" w:cs="Arial" w:eastAsia="Arial" w:hAnsi="Arial"/>
          <w:sz w:val="17"/>
          <w:szCs w:val="17"/>
          <w:b w:val="1"/>
          <w:bCs w:val="1"/>
          <w:u w:val="single" w:color="auto"/>
          <w:color w:val="auto"/>
        </w:rPr>
        <w:t>Rule 433</w:t>
      </w:r>
      <w:r>
        <w:rPr>
          <w:rFonts w:ascii="Arial" w:cs="Arial" w:eastAsia="Arial" w:hAnsi="Arial"/>
          <w:sz w:val="17"/>
          <w:szCs w:val="17"/>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7"/>
          <w:szCs w:val="17"/>
          <w:b w:val="1"/>
          <w:bCs w:val="1"/>
          <w:u w:val="single" w:color="auto"/>
          <w:color w:val="auto"/>
        </w:rPr>
        <w:t>Prospectus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both"/>
        <w:ind w:firstLine="648"/>
        <w:spacing w:after="0" w:line="289" w:lineRule="auto"/>
        <w:rPr>
          <w:sz w:val="20"/>
          <w:szCs w:val="20"/>
          <w:color w:val="auto"/>
        </w:rPr>
      </w:pPr>
      <w:r>
        <w:rPr>
          <w:rFonts w:ascii="Arial" w:cs="Arial" w:eastAsia="Arial" w:hAnsi="Arial"/>
          <w:sz w:val="16"/>
          <w:szCs w:val="16"/>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Arial" w:cs="Arial" w:eastAsia="Arial" w:hAnsi="Arial"/>
          <w:sz w:val="16"/>
          <w:szCs w:val="16"/>
          <w:b w:val="1"/>
          <w:bCs w:val="1"/>
          <w:u w:val="single" w:color="auto"/>
          <w:color w:val="auto"/>
        </w:rPr>
        <w:t>Incorporated Documents</w:t>
      </w:r>
      <w:r>
        <w:rPr>
          <w:rFonts w:ascii="Arial" w:cs="Arial" w:eastAsia="Arial" w:hAnsi="Arial"/>
          <w:sz w:val="16"/>
          <w:szCs w:val="16"/>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w:t>
      </w:r>
    </w:p>
    <w:p>
      <w:pPr>
        <w:spacing w:after="0" w:line="166" w:lineRule="exact"/>
        <w:rPr>
          <w:sz w:val="20"/>
          <w:szCs w:val="20"/>
          <w:color w:val="auto"/>
        </w:rPr>
      </w:pPr>
    </w:p>
    <w:p>
      <w:pPr>
        <w:jc w:val="both"/>
        <w:ind w:firstLine="656"/>
        <w:spacing w:after="0" w:line="283" w:lineRule="auto"/>
        <w:tabs>
          <w:tab w:leader="none" w:pos="1907"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any Placement Shares through the Agent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the Agent by email notice (or other method mutually agreed to in writing by the parties) (each such notice,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containing the parameters in accordance with which it desires such Placement Shares to be sold, which at a minimum shall include the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or amount of Placement Shares to be sold, the time period during which sales are requested to be made, any limitation on the number or amount of Placement Shares that may be sold in any one Trading Day (as defined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any minimum price below which sales may not be made, a form of which containing such minimum sales parameters is attached hereto as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The Placement Notice must originate from one of the individuals authorized to act on behalf of the Company and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(with a copy to each of the other individuals from the Company listed on such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and shall be addressed to each of the individuals from the Agent set forth on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as such</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2</w:t>
      </w:r>
      <w:r>
        <w:rPr>
          <w:rFonts w:ascii="Arial" w:cs="Arial" w:eastAsia="Arial" w:hAnsi="Arial"/>
          <w:sz w:val="16"/>
          <w:szCs w:val="16"/>
          <w:b w:val="1"/>
          <w:bCs w:val="1"/>
          <w:color w:val="auto"/>
        </w:rPr>
        <w:t xml:space="preserve"> </w:t>
      </w:r>
      <w:r>
        <w:rPr>
          <w:rFonts w:ascii="Arial" w:cs="Arial" w:eastAsia="Arial" w:hAnsi="Arial"/>
          <w:sz w:val="16"/>
          <w:szCs w:val="16"/>
          <w:color w:val="auto"/>
        </w:rPr>
        <w:t>may be updated by either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from time to time by sending a written notice containing a revised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to the other party in the manner provided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(including by email correspondence to each of the individuals of the Company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if receipt of such correspondence is actually acknowledged by any of the individuals to whom the notice is sent, other than via auto-reply). The Placement Notice shall be effective upon receipt by the Agent unless and until</w:t>
      </w:r>
    </w:p>
    <w:p>
      <w:pPr>
        <w:spacing w:after="0" w:line="3" w:lineRule="exact"/>
        <w:rPr>
          <w:rFonts w:ascii="Arial" w:cs="Arial" w:eastAsia="Arial" w:hAnsi="Arial"/>
          <w:sz w:val="16"/>
          <w:szCs w:val="16"/>
          <w:color w:val="auto"/>
        </w:rPr>
      </w:pPr>
    </w:p>
    <w:p>
      <w:pPr>
        <w:jc w:val="both"/>
        <w:ind w:firstLine="8"/>
        <w:spacing w:after="0" w:line="267" w:lineRule="auto"/>
        <w:tabs>
          <w:tab w:leader="none" w:pos="23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in accordance with the notice requirements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the Agent declines to accept the terms contained therein for any reason, in its sole discretion, within two Trading Days of the date the Agent receives the Placement Notice, (ii) in accordance with the notice requirements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the Agent suspends sales under the Placement Notice for any reason in its sole discretion, (iii) the entire amount of the Placement Shares has been sold pursuant to this Agreement, (iv) in accordance with the notice requirements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The amount of any discount, commission or other compensation to be paid by the Company to the Agent in connection with the sale of the Placement Shares effected through the Agent shall be calculated in accordance with the terms set forth in </w:t>
      </w:r>
      <w:r>
        <w:rPr>
          <w:rFonts w:ascii="Arial" w:cs="Arial" w:eastAsia="Arial" w:hAnsi="Arial"/>
          <w:sz w:val="17"/>
          <w:szCs w:val="17"/>
          <w:b w:val="1"/>
          <w:bCs w:val="1"/>
          <w:u w:val="single" w:color="auto"/>
          <w:color w:val="auto"/>
        </w:rPr>
        <w:t>Schedule 3</w:t>
      </w:r>
      <w:r>
        <w:rPr>
          <w:rFonts w:ascii="Arial" w:cs="Arial" w:eastAsia="Arial" w:hAnsi="Arial"/>
          <w:sz w:val="17"/>
          <w:szCs w:val="17"/>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both"/>
        <w:ind w:firstLine="656"/>
        <w:spacing w:after="0" w:line="267" w:lineRule="auto"/>
        <w:tabs>
          <w:tab w:leader="none" w:pos="1691"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Sale of Placement Shares by the Agent</w:t>
      </w:r>
      <w:r>
        <w:rPr>
          <w:rFonts w:ascii="Arial" w:cs="Arial" w:eastAsia="Arial" w:hAnsi="Arial"/>
          <w:sz w:val="17"/>
          <w:szCs w:val="17"/>
          <w:color w:val="auto"/>
        </w:rPr>
        <w:t xml:space="preserve">. On the basis of the representations and warranties herein contained and subject to the terms and conditions herein set forth, including, without limitation,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upon the effectiveness of a Placement Notice as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Arial" w:cs="Arial" w:eastAsia="Arial" w:hAnsi="Arial"/>
          <w:sz w:val="17"/>
          <w:szCs w:val="17"/>
          <w:b w:val="1"/>
          <w:bCs w:val="1"/>
          <w:u w:val="single" w:color="auto"/>
          <w:color w:val="auto"/>
        </w:rPr>
        <w:t>Nasdaq</w:t>
      </w:r>
      <w:r>
        <w:rPr>
          <w:rFonts w:ascii="Arial" w:cs="Arial" w:eastAsia="Arial" w:hAnsi="Arial"/>
          <w:sz w:val="17"/>
          <w:szCs w:val="17"/>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the Net Proceeds (as defined below) payable to the Company and an itemization of the deductions made by the Agent from the gross proceeds that it receives from such sales. Unless otherwise specified by the Company in a Placement Notice, the Agent may sell Placement Shares by any method permitted by law deemed to be an “at the market offering” as defined in Rule 415 of the Securities Act, including, without limitation, sales made directly on or through Nasdaq, on or through any other existing trading market for the Shares or to or through a market maker. If expressly authorized by the Company (including in a Placement Notice), the Agent may also sell Placement Shares by any other method permitted by law, including but not limited to privately negotiated transactions. Notwithstanding the provisions of </w:t>
      </w:r>
      <w:r>
        <w:rPr>
          <w:rFonts w:ascii="Arial" w:cs="Arial" w:eastAsia="Arial" w:hAnsi="Arial"/>
          <w:sz w:val="17"/>
          <w:szCs w:val="17"/>
          <w:u w:val="single" w:color="auto"/>
          <w:color w:val="auto"/>
        </w:rPr>
        <w:t>Section 6(uu)</w:t>
      </w:r>
      <w:r>
        <w:rPr>
          <w:rFonts w:ascii="Arial" w:cs="Arial" w:eastAsia="Arial" w:hAnsi="Arial"/>
          <w:sz w:val="17"/>
          <w:szCs w:val="17"/>
          <w:color w:val="auto"/>
        </w:rPr>
        <w:t>,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Arial" w:cs="Arial" w:eastAsia="Arial" w:hAnsi="Arial"/>
          <w:sz w:val="17"/>
          <w:szCs w:val="17"/>
          <w:b w:val="1"/>
          <w:bCs w:val="1"/>
          <w:u w:val="single" w:color="auto"/>
          <w:color w:val="auto"/>
        </w:rPr>
        <w:t>Trading Day</w:t>
      </w:r>
      <w:r>
        <w:rPr>
          <w:rFonts w:ascii="Arial" w:cs="Arial" w:eastAsia="Arial" w:hAnsi="Arial"/>
          <w:sz w:val="17"/>
          <w:szCs w:val="17"/>
          <w:color w:val="auto"/>
        </w:rPr>
        <w:t>” means any day on which Shares are purchased and sold on Nasdaq.</w:t>
      </w:r>
    </w:p>
    <w:p>
      <w:pPr>
        <w:spacing w:after="0" w:line="180" w:lineRule="exact"/>
        <w:rPr>
          <w:rFonts w:ascii="Arial" w:cs="Arial" w:eastAsia="Arial" w:hAnsi="Arial"/>
          <w:sz w:val="17"/>
          <w:szCs w:val="17"/>
          <w:color w:val="auto"/>
        </w:rPr>
      </w:pPr>
    </w:p>
    <w:p>
      <w:pPr>
        <w:ind w:left="1640" w:hanging="984"/>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0" w:lineRule="auto"/>
        <w:tabs>
          <w:tab w:leader="none" w:pos="2256"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The Company or the Agent may, upon notice to the other party in writing (including by email correspondence to each of the individuals of the other party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suspend any sale of Placement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suspension shall not affect or impair either party’s obligations with respect to any Placement Shares sold hereunder prior to the receipt of such notice. Each of the parties agrees that no such notice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be effective against the other party unless notice is sent by one of the individuals named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hereto to the other party in writing (including by email correspondence to each of the individuals of the other party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if receipt of such correspondence is actually acknowledged by any of the individuals to whom the notice is sent, other than via auto-reply).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both"/>
        <w:ind w:firstLine="1304"/>
        <w:spacing w:after="0" w:line="259" w:lineRule="auto"/>
        <w:tabs>
          <w:tab w:leader="none" w:pos="2495" w:val="left"/>
        </w:tabs>
        <w:numPr>
          <w:ilvl w:val="2"/>
          <w:numId w:val="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during any period in which the Company is, or is reasonably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86" w:lineRule="exact"/>
        <w:rPr>
          <w:rFonts w:ascii="Arial" w:cs="Arial" w:eastAsia="Arial" w:hAnsi="Arial"/>
          <w:sz w:val="18"/>
          <w:szCs w:val="18"/>
          <w:color w:val="auto"/>
        </w:rPr>
      </w:pPr>
    </w:p>
    <w:p>
      <w:pPr>
        <w:ind w:right="20" w:firstLine="1304"/>
        <w:spacing w:after="0" w:line="277" w:lineRule="auto"/>
        <w:tabs>
          <w:tab w:leader="none" w:pos="2499" w:val="left"/>
        </w:tabs>
        <w:numPr>
          <w:ilvl w:val="2"/>
          <w:numId w:val="6"/>
        </w:numPr>
        <w:rPr>
          <w:rFonts w:ascii="Arial" w:cs="Arial" w:eastAsia="Arial" w:hAnsi="Arial"/>
          <w:sz w:val="18"/>
          <w:szCs w:val="18"/>
          <w:color w:val="auto"/>
        </w:rPr>
      </w:pPr>
      <w:r>
        <w:rPr>
          <w:rFonts w:ascii="Arial" w:cs="Arial" w:eastAsia="Arial" w:hAnsi="Arial"/>
          <w:sz w:val="18"/>
          <w:szCs w:val="18"/>
          <w:color w:val="auto"/>
        </w:rPr>
        <w:t xml:space="preserve">While a suspension is in effect any obligation under </w:t>
      </w:r>
      <w:r>
        <w:rPr>
          <w:rFonts w:ascii="Arial" w:cs="Arial" w:eastAsia="Arial" w:hAnsi="Arial"/>
          <w:sz w:val="18"/>
          <w:szCs w:val="18"/>
          <w:u w:val="single" w:color="auto"/>
          <w:color w:val="auto"/>
        </w:rPr>
        <w:t>Sections 7(l)</w:t>
      </w:r>
      <w:r>
        <w:rPr>
          <w:rFonts w:ascii="Arial" w:cs="Arial" w:eastAsia="Arial" w:hAnsi="Arial"/>
          <w:sz w:val="18"/>
          <w:szCs w:val="18"/>
          <w:color w:val="auto"/>
        </w:rPr>
        <w:t xml:space="preserve">, </w:t>
      </w:r>
      <w:r>
        <w:rPr>
          <w:rFonts w:ascii="Arial" w:cs="Arial" w:eastAsia="Arial" w:hAnsi="Arial"/>
          <w:sz w:val="18"/>
          <w:szCs w:val="18"/>
          <w:u w:val="single" w:color="auto"/>
          <w:color w:val="auto"/>
        </w:rPr>
        <w:t>7(m)</w:t>
      </w:r>
      <w:r>
        <w:rPr>
          <w:rFonts w:ascii="Arial" w:cs="Arial" w:eastAsia="Arial" w:hAnsi="Arial"/>
          <w:sz w:val="18"/>
          <w:szCs w:val="18"/>
          <w:color w:val="auto"/>
        </w:rPr>
        <w:t xml:space="preserve">, </w:t>
      </w:r>
      <w:r>
        <w:rPr>
          <w:rFonts w:ascii="Arial" w:cs="Arial" w:eastAsia="Arial" w:hAnsi="Arial"/>
          <w:sz w:val="18"/>
          <w:szCs w:val="18"/>
          <w:u w:val="single" w:color="auto"/>
          <w:color w:val="auto"/>
        </w:rPr>
        <w:t>7(n)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7(o)</w:t>
      </w:r>
      <w:r>
        <w:rPr>
          <w:rFonts w:ascii="Arial" w:cs="Arial" w:eastAsia="Arial" w:hAnsi="Arial"/>
          <w:sz w:val="18"/>
          <w:szCs w:val="18"/>
          <w:color w:val="auto"/>
        </w:rPr>
        <w:t xml:space="preserve"> with respect to the delivery of certificates, opinions, or comfort letters to the Agent, shall be waived.</w:t>
      </w:r>
    </w:p>
    <w:p>
      <w:pPr>
        <w:spacing w:after="0" w:line="170" w:lineRule="exact"/>
        <w:rPr>
          <w:rFonts w:ascii="Arial" w:cs="Arial" w:eastAsia="Arial" w:hAnsi="Arial"/>
          <w:sz w:val="18"/>
          <w:szCs w:val="18"/>
          <w:color w:val="auto"/>
        </w:rPr>
      </w:pPr>
    </w:p>
    <w:p>
      <w:pPr>
        <w:ind w:left="1640" w:hanging="984"/>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Settlement and Delivery of the Placement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2350" w:val="left"/>
        </w:tabs>
        <w:numPr>
          <w:ilvl w:val="2"/>
          <w:numId w:val="7"/>
        </w:numPr>
        <w:rPr>
          <w:rFonts w:ascii="Arial" w:cs="Arial" w:eastAsia="Arial" w:hAnsi="Arial"/>
          <w:sz w:val="16"/>
          <w:szCs w:val="16"/>
          <w:color w:val="auto"/>
        </w:rPr>
      </w:pPr>
      <w:r>
        <w:rPr>
          <w:rFonts w:ascii="Arial" w:cs="Arial" w:eastAsia="Arial" w:hAnsi="Arial"/>
          <w:sz w:val="16"/>
          <w:szCs w:val="16"/>
          <w:color w:val="auto"/>
        </w:rPr>
        <w:t>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Arial" w:cs="Arial" w:eastAsia="Arial" w:hAnsi="Arial"/>
          <w:sz w:val="16"/>
          <w:szCs w:val="16"/>
          <w:b w:val="1"/>
          <w:bCs w:val="1"/>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Shares sold (the “</w:t>
      </w:r>
      <w:r>
        <w:rPr>
          <w:rFonts w:ascii="Arial" w:cs="Arial" w:eastAsia="Arial" w:hAnsi="Arial"/>
          <w:sz w:val="16"/>
          <w:szCs w:val="16"/>
          <w:b w:val="1"/>
          <w:bCs w:val="1"/>
          <w:u w:val="single" w:color="auto"/>
          <w:color w:val="auto"/>
        </w:rPr>
        <w:t>Net Proceeds</w:t>
      </w:r>
      <w:r>
        <w:rPr>
          <w:rFonts w:ascii="Arial" w:cs="Arial" w:eastAsia="Arial" w:hAnsi="Arial"/>
          <w:sz w:val="16"/>
          <w:szCs w:val="16"/>
          <w:color w:val="auto"/>
        </w:rPr>
        <w:t>”) will be equal to the aggregate gross sales price received by the Agent at which such Placement Shares were sold, after deduction of</w:t>
      </w:r>
    </w:p>
    <w:p>
      <w:pPr>
        <w:spacing w:after="0" w:line="1" w:lineRule="exact"/>
        <w:rPr>
          <w:rFonts w:ascii="Arial" w:cs="Arial" w:eastAsia="Arial" w:hAnsi="Arial"/>
          <w:sz w:val="16"/>
          <w:szCs w:val="16"/>
          <w:color w:val="auto"/>
        </w:rPr>
      </w:pPr>
    </w:p>
    <w:p>
      <w:pPr>
        <w:jc w:val="both"/>
        <w:ind w:firstLine="8"/>
        <w:spacing w:after="0" w:line="255"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Agent’s commission, discount or other compensation for such sales payable by the Company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(ii) any other amounts due and payable by the Company to the Agent hereunder pursuant to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hereof and (iii) any transaction fees imposed by any governmental or self-regulatory organization in respect of such sales.</w:t>
      </w:r>
    </w:p>
    <w:p>
      <w:pPr>
        <w:spacing w:after="0" w:line="189" w:lineRule="exact"/>
        <w:rPr>
          <w:rFonts w:ascii="Arial" w:cs="Arial" w:eastAsia="Arial" w:hAnsi="Arial"/>
          <w:sz w:val="18"/>
          <w:szCs w:val="18"/>
          <w:color w:val="auto"/>
        </w:rPr>
      </w:pPr>
    </w:p>
    <w:p>
      <w:pPr>
        <w:jc w:val="both"/>
        <w:ind w:firstLine="1304"/>
        <w:spacing w:after="0" w:line="284" w:lineRule="auto"/>
        <w:tabs>
          <w:tab w:leader="none" w:pos="2306" w:val="left"/>
        </w:tabs>
        <w:numPr>
          <w:ilvl w:val="2"/>
          <w:numId w:val="8"/>
        </w:numPr>
        <w:rPr>
          <w:rFonts w:ascii="Arial" w:cs="Arial" w:eastAsia="Arial" w:hAnsi="Arial"/>
          <w:sz w:val="16"/>
          <w:szCs w:val="16"/>
          <w:color w:val="auto"/>
        </w:rPr>
      </w:pPr>
      <w:r>
        <w:rPr>
          <w:rFonts w:ascii="Arial" w:cs="Arial" w:eastAsia="Arial" w:hAnsi="Arial"/>
          <w:sz w:val="16"/>
          <w:szCs w:val="16"/>
          <w:color w:val="auto"/>
        </w:rPr>
        <w:t>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Arial" w:cs="Arial" w:eastAsia="Arial" w:hAnsi="Arial"/>
          <w:sz w:val="16"/>
          <w:szCs w:val="16"/>
          <w:b w:val="1"/>
          <w:bCs w:val="1"/>
          <w:u w:val="single" w:color="auto"/>
          <w:color w:val="auto"/>
        </w:rPr>
        <w:t>DWAC</w:t>
      </w:r>
      <w:r>
        <w:rPr>
          <w:rFonts w:ascii="Arial" w:cs="Arial" w:eastAsia="Arial" w:hAnsi="Arial"/>
          <w:sz w:val="16"/>
          <w:szCs w:val="16"/>
          <w:color w:val="auto"/>
        </w:rPr>
        <w:t xml:space="preserve">”) or by such other means of delivery as may be mutually agreed upon by the parties hereto, which in all cases shall be duly authorized, freely tradeable, transferable, registered Shares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and as a result the Agent cancels such trade,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reasonably incurred out-of-pocket loss, claim, damage, or expense (including reasonable legal fees and expenses), arising out of or in connection with such default by the Company or its transfer agent (if applicable) and (iii) pay to the Agent any commission, discount or other 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 for the Placement Shares, if any, will be made available by the Company for examination and packaging by the Agent in New York City not later than 12:00 P.M., New York City time, on the Business Day prior to the applicable Settlement Date.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ind w:firstLine="1304"/>
        <w:spacing w:after="0" w:line="286" w:lineRule="auto"/>
        <w:tabs>
          <w:tab w:leader="none" w:pos="2283"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registered pursuant to, and available for offer and sale under, the Registration Statement pursuant to which the offering of Placement Shares is being made, (ii) the number of authorized but unissued Shares of the Company (less Shares issuable upon exercise, conversion or exchange of any outstanding securities of the Company or otherwise reserved from the Company’s authorized capital), (iii) the number or dollar amount of Shares permitted to be offered and sold by the Company under Form S-3 (including General Instruction I.B.6. thereof, if such instruction is applicable), (iv) the number or dollar amount of Shares the Company’s board of directors or a duly authorized committee thereof is authorized to issue and sell from time to time, and notified to the Agent in writing, or (v) the dollar amount of Shares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73" w:lineRule="exact"/>
        <w:rPr>
          <w:rFonts w:ascii="Arial" w:cs="Arial" w:eastAsia="Arial" w:hAnsi="Arial"/>
          <w:sz w:val="16"/>
          <w:szCs w:val="16"/>
          <w:color w:val="auto"/>
        </w:rPr>
      </w:pPr>
    </w:p>
    <w:p>
      <w:pPr>
        <w:jc w:val="both"/>
        <w:ind w:firstLine="656"/>
        <w:spacing w:after="0" w:line="257" w:lineRule="auto"/>
        <w:tabs>
          <w:tab w:leader="none" w:pos="173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xml:space="preserve">. The Company represents and warrants to, and agrees with, the Agent that, except as set forth in the Registration Statement or the Prospectus, as of the date of this Agreement, and (unless such representation or warranty is made expressly as of the date hereof) as of (i) each Representation Date (as defined in </w:t>
      </w:r>
      <w:r>
        <w:rPr>
          <w:rFonts w:ascii="Arial" w:cs="Arial" w:eastAsia="Arial" w:hAnsi="Arial"/>
          <w:sz w:val="18"/>
          <w:szCs w:val="18"/>
          <w:u w:val="single" w:color="auto"/>
          <w:color w:val="auto"/>
        </w:rPr>
        <w:t>Section 7(m)</w:t>
      </w:r>
      <w:r>
        <w:rPr>
          <w:rFonts w:ascii="Arial" w:cs="Arial" w:eastAsia="Arial" w:hAnsi="Arial"/>
          <w:sz w:val="18"/>
          <w:szCs w:val="18"/>
          <w:color w:val="auto"/>
        </w:rPr>
        <w:t>), (ii) each date on which a Placement Notice is given, (iii) the date and time of each sale of any Placement Shares pursuant to this Agreement and (iv) each Settlement Date (each such time or date referred to in clauses (i) through (iv), an “</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86" w:lineRule="auto"/>
        <w:tabs>
          <w:tab w:leader="none" w:pos="2566"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Company and the transactions contemplated by this Agreement meet the requirements for and comply with the applicable conditions for the use of Form S-3 (including General Instructions I.A and I.B) under the Securities Act. The Registration Statement has been filed with and has been declared effective by the Commission under the Securities Act. At the time the Registration Statement originally became effective and at the time the Company’s Annual Report on Form 10-K for the year ended December 31, 2019, was filed with the Commission, the Company met the then-applicable requirements for use of Form S-3 under the Securities Act, including General Instruction I.B.1 of such form. The Registration Statement meets, and the offering and sale of Placement Shares as contemplated hereby comply in all material respects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ind w:firstLine="1304"/>
        <w:spacing w:after="0" w:line="284" w:lineRule="auto"/>
        <w:tabs>
          <w:tab w:leader="none" w:pos="22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 The foregoing shall not apply to statements in, or omissions from, any such document made in reliance upon, and in conformity with, information furnished to the Company by the Agent specifically for use in the preparation thereof.</w:t>
      </w:r>
    </w:p>
    <w:p>
      <w:pPr>
        <w:spacing w:after="0" w:line="178" w:lineRule="exact"/>
        <w:rPr>
          <w:rFonts w:ascii="Arial" w:cs="Arial" w:eastAsia="Arial" w:hAnsi="Arial"/>
          <w:sz w:val="16"/>
          <w:szCs w:val="16"/>
          <w:color w:val="auto"/>
        </w:rPr>
      </w:pPr>
    </w:p>
    <w:p>
      <w:pPr>
        <w:jc w:val="both"/>
        <w:ind w:firstLine="1304"/>
        <w:spacing w:after="0" w:line="259" w:lineRule="auto"/>
        <w:tabs>
          <w:tab w:leader="none" w:pos="2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At the time of filing the Registration Statement and (ii) at the time of the execution of this Agreement (with such date being used as the determination date for purposes of this clause (ii)), the Company was not and is not an “ineligible issuer” (as defined in Rule 405 of the Securities Act (“</w:t>
      </w:r>
      <w:r>
        <w:rPr>
          <w:rFonts w:ascii="Arial" w:cs="Arial" w:eastAsia="Arial" w:hAnsi="Arial"/>
          <w:sz w:val="18"/>
          <w:szCs w:val="18"/>
          <w:b w:val="1"/>
          <w:bCs w:val="1"/>
          <w:u w:val="single" w:color="auto"/>
          <w:color w:val="auto"/>
        </w:rPr>
        <w:t>Rule 405</w:t>
      </w:r>
      <w:r>
        <w:rPr>
          <w:rFonts w:ascii="Arial" w:cs="Arial" w:eastAsia="Arial" w:hAnsi="Arial"/>
          <w:sz w:val="18"/>
          <w:szCs w:val="18"/>
          <w:color w:val="auto"/>
        </w:rPr>
        <w:t>”)), without taking account of any determination by the Commission pursuant to Rule 405 that it is not necessary that the Company be considered an ineligible issuer.</w:t>
      </w:r>
    </w:p>
    <w:p>
      <w:pPr>
        <w:spacing w:after="0" w:line="186" w:lineRule="exact"/>
        <w:rPr>
          <w:rFonts w:ascii="Arial" w:cs="Arial" w:eastAsia="Arial" w:hAnsi="Arial"/>
          <w:sz w:val="18"/>
          <w:szCs w:val="18"/>
          <w:color w:val="auto"/>
        </w:rPr>
      </w:pPr>
    </w:p>
    <w:p>
      <w:pPr>
        <w:ind w:left="2240" w:hanging="936"/>
        <w:spacing w:after="0"/>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22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issuer free writing prospectus, if any,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firstLine="1304"/>
        <w:spacing w:after="0" w:line="286" w:lineRule="auto"/>
        <w:tabs>
          <w:tab w:leader="none" w:pos="242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23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2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is subject to and in compliance in all material respects with the reporting requirements of Section 13 or Section 15(d) of the Exchange Act. The Shares are registered pursuant to Section 12(b) of the Exchange Act and are listed on Nasdaq, and the Company has taken no action designed to, or reasonably likely to have the effect of, terminating the registration of the Shares under the Exchange Act or delisting the Shares from Nasdaq, nor has the Company received any notification that the Commission or Nasdaq is contemplating terminating such registration or listing. The Company is in compliance with the current listing standards of Nasdaq. The Company will file a Notification of Listing of Additional Shares with Nasdaq with respect to the Placement Shares prior to issuance by the Company of the first Placement Notice.</w:t>
      </w:r>
    </w:p>
    <w:p>
      <w:pPr>
        <w:spacing w:after="0" w:line="177" w:lineRule="exact"/>
        <w:rPr>
          <w:rFonts w:ascii="Arial" w:cs="Arial" w:eastAsia="Arial" w:hAnsi="Arial"/>
          <w:sz w:val="17"/>
          <w:szCs w:val="17"/>
          <w:color w:val="auto"/>
        </w:rPr>
      </w:pPr>
    </w:p>
    <w:p>
      <w:pPr>
        <w:ind w:firstLine="1304"/>
        <w:spacing w:after="0" w:line="342" w:lineRule="auto"/>
        <w:tabs>
          <w:tab w:leader="none" w:pos="2433"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123" w:lineRule="exact"/>
        <w:rPr>
          <w:rFonts w:ascii="Arial" w:cs="Arial" w:eastAsia="Arial" w:hAnsi="Arial"/>
          <w:sz w:val="16"/>
          <w:szCs w:val="16"/>
          <w:color w:val="auto"/>
        </w:rPr>
      </w:pPr>
    </w:p>
    <w:p>
      <w:pPr>
        <w:jc w:val="both"/>
        <w:ind w:firstLine="1304"/>
        <w:spacing w:after="0" w:line="289" w:lineRule="auto"/>
        <w:tabs>
          <w:tab w:leader="none" w:pos="231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each of its Subsidiaries are duly organized, validly existing as a corporation and in good standing under the laws of their respective jurisdictions of organization. The Company and each of its Subsidiaries are duly licensed or qualified as a foreign corporation for transaction of business and in good standing (or the non-U.S. equivalent thereof)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shareholders’ equity or results of operations of the Company and the Subsidiaries taken as a whole, or prevent or materially interfere with consummation of the transactions contemplated hereby (a “</w:t>
      </w:r>
      <w:r>
        <w:rPr>
          <w:rFonts w:ascii="Arial" w:cs="Arial" w:eastAsia="Arial" w:hAnsi="Arial"/>
          <w:sz w:val="16"/>
          <w:szCs w:val="16"/>
          <w:b w:val="1"/>
          <w:bCs w:val="1"/>
          <w:u w:val="single" w:color="auto"/>
          <w:color w:val="auto"/>
        </w:rPr>
        <w:t>Material Adverse Effect</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304"/>
        <w:spacing w:after="0" w:line="272" w:lineRule="auto"/>
        <w:tabs>
          <w:tab w:leader="none" w:pos="2414"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Company does not own or control, directly or indirectly, any corporation, association or other entity, other than the subsidiaries listed on </w:t>
      </w:r>
      <w:r>
        <w:rPr>
          <w:rFonts w:ascii="Arial" w:cs="Arial" w:eastAsia="Arial" w:hAnsi="Arial"/>
          <w:sz w:val="17"/>
          <w:szCs w:val="17"/>
          <w:b w:val="1"/>
          <w:bCs w:val="1"/>
          <w:u w:val="single" w:color="auto"/>
          <w:color w:val="auto"/>
        </w:rPr>
        <w:t>Schedule 4</w:t>
      </w:r>
      <w:r>
        <w:rPr>
          <w:rFonts w:ascii="Arial" w:cs="Arial" w:eastAsia="Arial" w:hAnsi="Arial"/>
          <w:sz w:val="17"/>
          <w:szCs w:val="17"/>
          <w:color w:val="auto"/>
        </w:rPr>
        <w:t xml:space="preserve"> attached hereto (each, a “</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ind w:firstLine="1304"/>
        <w:spacing w:after="0" w:line="288" w:lineRule="auto"/>
        <w:tabs>
          <w:tab w:leader="none" w:pos="225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issued and outstanding Shares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under the Company’s existing share option plans, or changes in the number of outstanding Shares of the Company due to the issuance of shares upon the exercise or conversion of securities exercisable for, or convertible into, Shares outstanding on the date hereof) and such authorized capital conforms in all material respects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its authorized capital or other securities.</w:t>
      </w:r>
    </w:p>
    <w:p>
      <w:pPr>
        <w:spacing w:after="0" w:line="168" w:lineRule="exact"/>
        <w:rPr>
          <w:rFonts w:ascii="Arial" w:cs="Arial" w:eastAsia="Arial" w:hAnsi="Arial"/>
          <w:sz w:val="16"/>
          <w:szCs w:val="16"/>
          <w:color w:val="auto"/>
        </w:rPr>
      </w:pPr>
    </w:p>
    <w:p>
      <w:pPr>
        <w:jc w:val="both"/>
        <w:ind w:firstLine="1304"/>
        <w:spacing w:after="0" w:line="290" w:lineRule="auto"/>
        <w:tabs>
          <w:tab w:leader="none" w:pos="23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Placement Shares have been duly authorized for issuance and sale pursuant to this Agreement and, when issued and delivered by the Company against payment therefor pursuant to this Agreement, will be validly issued, fully paid and nonassessable and will confirm in all material respects to the description thereof contained in the Prospectus. The issuance and sale of the Placement Shares as contemplated hereby shall not be subject to any preemptive rights, rights of first refusal or other similar rights to subscribe for or purchase the Placement Shares. When issued and delivered by the Company against payment therefor pursuant to this Agreement, the purchasers of the Placement Shares issued and sold hereunder will acquire good, marketable and valid title to such Placement Shares, free and clear of all pledges, liens, security interests, charges, claims or encumbrances. There are no restrictions upon the voting or transfer of the Shares under the Company’s certificate of incorporation or other organizational documents or any agreement or other instrument to which the Company is a party or otherwise filed as an exhibit to the Registration Statement.</w:t>
      </w:r>
    </w:p>
    <w:p>
      <w:pPr>
        <w:spacing w:after="0" w:line="165" w:lineRule="exact"/>
        <w:rPr>
          <w:rFonts w:ascii="Arial" w:cs="Arial" w:eastAsia="Arial" w:hAnsi="Arial"/>
          <w:sz w:val="16"/>
          <w:szCs w:val="16"/>
          <w:color w:val="auto"/>
        </w:rPr>
      </w:pPr>
    </w:p>
    <w:p>
      <w:pPr>
        <w:jc w:val="both"/>
        <w:ind w:firstLine="1304"/>
        <w:spacing w:after="0" w:line="257" w:lineRule="auto"/>
        <w:tabs>
          <w:tab w:leader="none" w:pos="2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no statute, regulation, contract, agreement or other document required to be described in the Registration Statement, Prospectus or in any Incorporated Document, or to be filed as an exhibit to the Registration Statement or any Incorporated Document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2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w:t>
      </w:r>
    </w:p>
    <w:p>
      <w:pPr>
        <w:spacing w:after="0" w:line="186" w:lineRule="exact"/>
        <w:rPr>
          <w:rFonts w:ascii="Arial" w:cs="Arial" w:eastAsia="Arial" w:hAnsi="Arial"/>
          <w:sz w:val="18"/>
          <w:szCs w:val="18"/>
          <w:color w:val="auto"/>
        </w:rPr>
      </w:pPr>
    </w:p>
    <w:p>
      <w:pPr>
        <w:ind w:firstLine="1304"/>
        <w:spacing w:after="0" w:line="342" w:lineRule="auto"/>
        <w:tabs>
          <w:tab w:leader="none" w:pos="24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Placement Shares and the application of the proceeds thereof as described in the Prospectus, will not be an “investment company” as defined in the Investment Company Act of 1940, as amended.</w:t>
      </w:r>
    </w:p>
    <w:p>
      <w:pPr>
        <w:spacing w:after="0" w:line="123" w:lineRule="exact"/>
        <w:rPr>
          <w:rFonts w:ascii="Arial" w:cs="Arial" w:eastAsia="Arial" w:hAnsi="Arial"/>
          <w:sz w:val="16"/>
          <w:szCs w:val="16"/>
          <w:color w:val="auto"/>
        </w:rPr>
      </w:pPr>
    </w:p>
    <w:p>
      <w:pPr>
        <w:jc w:val="both"/>
        <w:ind w:firstLine="1304"/>
        <w:spacing w:after="0" w:line="272" w:lineRule="auto"/>
        <w:tabs>
          <w:tab w:leader="none" w:pos="2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and the Prospectus (including the issuance and sale of the Placement Shares hereunder), except such as have been already obtained or made or as may be required under the Securities Act, applicable state securities or Blue Sky laws, applicable rules of Nasdaq, or Rule 5110 of the Financial Industry Regulatory Authority, Inc. (“</w:t>
      </w:r>
      <w:r>
        <w:rPr>
          <w:rFonts w:ascii="Arial" w:cs="Arial" w:eastAsia="Arial" w:hAnsi="Arial"/>
          <w:sz w:val="17"/>
          <w:szCs w:val="17"/>
          <w:b w:val="1"/>
          <w:bCs w:val="1"/>
          <w:u w:val="single" w:color="auto"/>
          <w:color w:val="auto"/>
        </w:rPr>
        <w:t>FINRA</w:t>
      </w:r>
      <w:r>
        <w:rPr>
          <w:rFonts w:ascii="Arial" w:cs="Arial" w:eastAsia="Arial" w:hAnsi="Arial"/>
          <w:sz w:val="17"/>
          <w:szCs w:val="17"/>
          <w:color w:val="auto"/>
        </w:rPr>
        <w:t>”). In accordance with FINRA Conduct Rule 5110(b)(7)(C)(i), the Placement Shares have been registered with the Commission on Form S-3 under the Securities Act pursuant to the standards for such Form S-3 in effect prior to October 21, 1992.</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1304"/>
        <w:spacing w:after="0" w:line="290" w:lineRule="auto"/>
        <w:tabs>
          <w:tab w:leader="none" w:pos="23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execution and delivery by the Company of, nor the performance of the Company of its obligations under, this Agreement will conflict with, result in a breach or violation of, or result in the creation or imposition of any lien, charge or encumbrance upon any property or assets of the Company or any of its Subsidiaries pursuant to: (i) the certificate of incorporation or other organizational documents, of such entity, (ii) the terms of any indenture, contract, license, lease, mortgage, deed of trust, note agreement, agreement or other instrument, obligation, condition, covenant or instrument to which it is a party or bound or to which its property or assets is subject or (iii) any statute, law, rule, regulation, judgment, order or decree applicable to the Company or any of its Subsidiaries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conflict, breach, violation or default that would not, individually or in the aggregate, have a Material Adverse Effect.</w:t>
      </w:r>
    </w:p>
    <w:p>
      <w:pPr>
        <w:spacing w:after="0" w:line="165" w:lineRule="exact"/>
        <w:rPr>
          <w:rFonts w:ascii="Arial" w:cs="Arial" w:eastAsia="Arial" w:hAnsi="Arial"/>
          <w:sz w:val="16"/>
          <w:szCs w:val="16"/>
          <w:color w:val="auto"/>
        </w:rPr>
      </w:pPr>
    </w:p>
    <w:p>
      <w:pPr>
        <w:jc w:val="both"/>
        <w:ind w:firstLine="1304"/>
        <w:spacing w:after="0" w:line="269" w:lineRule="auto"/>
        <w:tabs>
          <w:tab w:leader="none" w:pos="2412"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the Registration Statement and the Prospectus: (i) there has been no Material Adverse Effect or the occurrence of any development that the Company reasonably expects will result in a Material Adverse Effect, (ii) neither the Company nor its Subsidiaries has (A)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(B) entered into any material transactions not in the ordinary course of business or (C) issued or granted any Shares or securities convertible into or exchangeable or exercisable for or that represent the right to receive Shares other than under the Company’s existing share option plans; and (iii) there has not been any material decrease in the share capital or any material increase in any short-term or long-term indebtedness of the Company or any of its Subsidiaries and there has been no dividend or distribution of any kind declared, paid or made by the Company or, except for dividends paid to the Company or another Subsidiary, by any Subsidiary on any class of shares, or any repurchase or redemption by the Company or any of its Subsidiaries of any class of shares.</w:t>
      </w:r>
    </w:p>
    <w:p>
      <w:pPr>
        <w:spacing w:after="0" w:line="181" w:lineRule="exact"/>
        <w:rPr>
          <w:rFonts w:ascii="Arial" w:cs="Arial" w:eastAsia="Arial" w:hAnsi="Arial"/>
          <w:sz w:val="17"/>
          <w:szCs w:val="17"/>
          <w:color w:val="auto"/>
        </w:rPr>
      </w:pPr>
    </w:p>
    <w:p>
      <w:pPr>
        <w:jc w:val="both"/>
        <w:ind w:firstLine="1304"/>
        <w:spacing w:after="0" w:line="284" w:lineRule="auto"/>
        <w:tabs>
          <w:tab w:leader="none" w:pos="26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consolidated financial statements included or incorporated by reference in the Registration Statement and the Prospectus, together with the related notes and schedules, present fairly in all material respects the consolidated financial position of the Company and the Subsidiaries as of the dates indicated and the consolidated results of operations, cash flows and changes in shareholders’ equity of the Company and the Subsidiaries for the periods specified and have been prepared in compliance with the requirements of the Securities Act and Exchange Act and in conformity with United States generally accepted accounting principles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applied on a consistent basis during the periods involved (except for such adjustments to accounting standards and practices as are noted therein). To the extent applicable, any pro forma financial statements, information or data included or incorporated by reference in the Registration Statement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data set forth or incorporated by reference in the Registration Statement and the Prospectus is accurately and fairly presented in all material respects and prepared on a basis consistent in all material respects with the financial statements and books and records of the Company. There are no financial statements (historical or pro forma) that are required to be included or incorporated by reference in the Registration Statement or the Prospectus that are no included or incorporated by reference therein as required. The Company and the Subsidiaries do not have any material liabilities or obligations, direct or contingent (including any off-balance sheet obligations), not disclosed in the Registration Statement and the Prospectus. All disclosures contained in the Registration Statement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has participated in or otherwise aided the preparation of, or audited, the financial statements, supporting schedules or other financial data filed with the Commission as a part of the Registration Statement and the Prospectus.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ind w:firstLine="1304"/>
        <w:spacing w:after="0" w:line="259" w:lineRule="auto"/>
        <w:tabs>
          <w:tab w:leader="none" w:pos="22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statistical, industry-related and market-related data included or incorporated by reference in the Registration Statement and the Prospectus were obtained or derived from sources which the Company reasonably and in good faith believes are reliable and accurate, such data agree with the sources from which they are derived, and the Company has obtained the written consent to the use of such data from such sources to the extent required.</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 action, suit or proceeding by or before any court or governmental agency, authority or body or any arbitrator involving the Company or its or their property is pending, or to the best knowledge of the Company, threatened, that (i) could reasonably be expected to have a material adverse effect on the performance of this Agreement or the consummation of any of the transactions contemplated hereby or (ii) could reasonably be expected to have a Material Adverse Effect.</w:t>
      </w:r>
    </w:p>
    <w:p>
      <w:pPr>
        <w:spacing w:after="0" w:line="186" w:lineRule="exact"/>
        <w:rPr>
          <w:rFonts w:ascii="Arial" w:cs="Arial" w:eastAsia="Arial" w:hAnsi="Arial"/>
          <w:sz w:val="18"/>
          <w:szCs w:val="18"/>
          <w:color w:val="auto"/>
        </w:rPr>
      </w:pPr>
    </w:p>
    <w:p>
      <w:pPr>
        <w:ind w:firstLine="1304"/>
        <w:spacing w:after="0" w:line="277" w:lineRule="auto"/>
        <w:tabs>
          <w:tab w:leader="none" w:pos="22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and its Subsidiaries own or lease all such real properties as are necessary to the conduct of their operations as presently conducted in all material respects.</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2401" w:val="left"/>
        </w:tabs>
        <w:numPr>
          <w:ilvl w:val="1"/>
          <w:numId w:val="15"/>
        </w:numPr>
        <w:rPr>
          <w:rFonts w:ascii="Arial" w:cs="Arial" w:eastAsia="Arial" w:hAnsi="Arial"/>
          <w:sz w:val="16"/>
          <w:szCs w:val="16"/>
          <w:color w:val="auto"/>
        </w:rPr>
      </w:pPr>
      <w:r>
        <w:rPr>
          <w:rFonts w:ascii="Arial" w:cs="Arial" w:eastAsia="Arial" w:hAnsi="Arial"/>
          <w:sz w:val="16"/>
          <w:szCs w:val="16"/>
          <w:color w:val="auto"/>
        </w:rPr>
        <w:t>Neither the Company nor any Subsidiary is in violation or default of (i) any provision of its certificate of incorporation, charter, bylaws, articles of association,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or</w:t>
      </w:r>
    </w:p>
    <w:p>
      <w:pPr>
        <w:spacing w:after="0" w:line="1" w:lineRule="exact"/>
        <w:rPr>
          <w:rFonts w:ascii="Arial" w:cs="Arial" w:eastAsia="Arial" w:hAnsi="Arial"/>
          <w:sz w:val="16"/>
          <w:szCs w:val="16"/>
          <w:color w:val="auto"/>
        </w:rPr>
      </w:pPr>
    </w:p>
    <w:p>
      <w:pPr>
        <w:jc w:val="both"/>
        <w:ind w:firstLine="8"/>
        <w:spacing w:after="0" w:line="277" w:lineRule="auto"/>
        <w:tabs>
          <w:tab w:leader="none" w:pos="3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statute, law, rule, regulation, judgment, order or decree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default or violation that would not, individually or in the aggregate, have a Material Adverse Effect.</w:t>
      </w:r>
    </w:p>
    <w:p>
      <w:pPr>
        <w:spacing w:after="0" w:line="172" w:lineRule="exact"/>
        <w:rPr>
          <w:rFonts w:ascii="Arial" w:cs="Arial" w:eastAsia="Arial" w:hAnsi="Arial"/>
          <w:sz w:val="17"/>
          <w:szCs w:val="17"/>
          <w:color w:val="auto"/>
        </w:rPr>
      </w:pPr>
    </w:p>
    <w:p>
      <w:pPr>
        <w:jc w:val="both"/>
        <w:ind w:firstLine="1304"/>
        <w:spacing w:after="0" w:line="311" w:lineRule="auto"/>
        <w:tabs>
          <w:tab w:leader="none" w:pos="223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Ernst &amp; Young LLP, whose reports on the consolidated financial statements of the Company is filed with the Commission as part of the Company’s most recent annual report on Form 10-K filed with the Commission and incorporated by reference in the Registration Statement and the Prospectus, is an independent registered public accounting firm as required by the Securities Act, the Exchange Act and the rules of the PCAOB.</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2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firstLine="1304"/>
        <w:spacing w:after="0" w:line="254" w:lineRule="auto"/>
        <w:tabs>
          <w:tab w:leader="none" w:pos="22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and each of its Subsidiaries have filed all federal, state, local and foreign income tax returns which have been required to be filed and paid all income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the Prospectus,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194" w:lineRule="exact"/>
        <w:rPr>
          <w:rFonts w:ascii="Arial" w:cs="Arial" w:eastAsia="Arial" w:hAnsi="Arial"/>
          <w:sz w:val="18"/>
          <w:szCs w:val="18"/>
          <w:color w:val="auto"/>
        </w:rPr>
      </w:pPr>
    </w:p>
    <w:p>
      <w:pPr>
        <w:jc w:val="both"/>
        <w:ind w:firstLine="1304"/>
        <w:spacing w:after="0" w:line="254" w:lineRule="auto"/>
        <w:tabs>
          <w:tab w:leader="none" w:pos="22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have a Material Adverse Effect. None of the employees of the Company or any of its Subsidiaries is represented by a union and, to the knowledge of the Company, no union organizing activities are taking place. Neither the Company nor any of its Subsidiaries has violated (or received notice of any violation of) any material federal, state or local law or foreign law relating to the discrimination in hiring, promotion or pay of employees, nor any applicable wage or hour laws, or the rules and regulations thereunder, or analogous foreign laws and regulations, which would, individually or in the aggregate, reasonably be expected to result in a Material Adverse Effect.</w:t>
      </w:r>
    </w:p>
    <w:p>
      <w:pPr>
        <w:spacing w:after="0" w:line="191" w:lineRule="exact"/>
        <w:rPr>
          <w:rFonts w:ascii="Arial" w:cs="Arial" w:eastAsia="Arial" w:hAnsi="Arial"/>
          <w:sz w:val="18"/>
          <w:szCs w:val="18"/>
          <w:color w:val="auto"/>
        </w:rPr>
      </w:pPr>
    </w:p>
    <w:p>
      <w:pPr>
        <w:jc w:val="both"/>
        <w:ind w:firstLine="1304"/>
        <w:spacing w:after="0" w:line="254" w:lineRule="auto"/>
        <w:tabs>
          <w:tab w:leader="none" w:pos="22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the Company and its Subsidiaries are insured by recognized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material insurance coverage which it has sought or for which it has applied.</w:t>
      </w:r>
    </w:p>
    <w:p>
      <w:pPr>
        <w:spacing w:after="0" w:line="191" w:lineRule="exact"/>
        <w:rPr>
          <w:rFonts w:ascii="Arial" w:cs="Arial" w:eastAsia="Arial" w:hAnsi="Arial"/>
          <w:sz w:val="18"/>
          <w:szCs w:val="18"/>
          <w:color w:val="auto"/>
        </w:rPr>
      </w:pPr>
    </w:p>
    <w:p>
      <w:pPr>
        <w:jc w:val="both"/>
        <w:ind w:firstLine="1304"/>
        <w:spacing w:after="0" w:line="273" w:lineRule="auto"/>
        <w:tabs>
          <w:tab w:leader="none" w:pos="216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and each of its Subsidiaries has good and marketable title in fee simple to all real property owned by them and good and marketable title to all personal property owned by them that is material to their business, in each case free and clear of all liens, encumbrances and defects except such as do not materially affect the value of such property and do not interfere with the use made and proposed to be made of such property by the Company or any Subsidiary; and any real property and buildings held under lease by the Company or any of its Subsidiaries are held by them under valid, subsisting and enforceable leases with such exceptions as are not material and do not interfere with the use made and proposed to be made of such property and buildings by the Company or such Subsidiary.</w:t>
      </w:r>
    </w:p>
    <w:p>
      <w:pPr>
        <w:spacing w:after="0" w:line="177" w:lineRule="exact"/>
        <w:rPr>
          <w:rFonts w:ascii="Arial" w:cs="Arial" w:eastAsia="Arial" w:hAnsi="Arial"/>
          <w:sz w:val="17"/>
          <w:szCs w:val="17"/>
          <w:color w:val="auto"/>
        </w:rPr>
      </w:pPr>
    </w:p>
    <w:p>
      <w:pPr>
        <w:jc w:val="both"/>
        <w:ind w:firstLine="1304"/>
        <w:spacing w:after="0" w:line="273" w:lineRule="auto"/>
        <w:tabs>
          <w:tab w:leader="none" w:pos="239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and its Subsidiaries possess and are operating in all material respects in compliance with such valid and current material certificates, authorizations or permits required by United States federal, state or foreign regulatory agencies or bodies to conduct their respective businesses as currently conducted and as described in the Registration Statement and the Prospectus (collectively, “</w:t>
      </w:r>
      <w:r>
        <w:rPr>
          <w:rFonts w:ascii="Arial" w:cs="Arial" w:eastAsia="Arial" w:hAnsi="Arial"/>
          <w:sz w:val="17"/>
          <w:szCs w:val="17"/>
          <w:b w:val="1"/>
          <w:bCs w:val="1"/>
          <w:u w:val="single" w:color="auto"/>
          <w:color w:val="auto"/>
        </w:rPr>
        <w:t>Permits</w:t>
      </w:r>
      <w:r>
        <w:rPr>
          <w:rFonts w:ascii="Arial" w:cs="Arial" w:eastAsia="Arial" w:hAnsi="Arial"/>
          <w:sz w:val="17"/>
          <w:szCs w:val="17"/>
          <w:color w:val="auto"/>
        </w:rPr>
        <w:t>”). Neither the Company nor any of its Subsidiaries is in violation of, or in default under, any of the Permits or has received any written notice of proceedings relating to the revocation or modification of, or non-compliance with, any such certificate, authorization or permit, which, individually or in the aggregate, if the subject of an unfavorable decision, ruling or finding, could reasonably be expected to result in a Material Adverse Effect.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firstLine="1304"/>
        <w:spacing w:after="0" w:line="291" w:lineRule="auto"/>
        <w:tabs>
          <w:tab w:leader="none" w:pos="23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66" w:lineRule="exact"/>
        <w:rPr>
          <w:rFonts w:ascii="Arial" w:cs="Arial" w:eastAsia="Arial" w:hAnsi="Arial"/>
          <w:sz w:val="16"/>
          <w:szCs w:val="16"/>
          <w:color w:val="auto"/>
        </w:rPr>
      </w:pPr>
    </w:p>
    <w:p>
      <w:pPr>
        <w:jc w:val="both"/>
        <w:ind w:firstLine="1304"/>
        <w:spacing w:after="0" w:line="270" w:lineRule="auto"/>
        <w:tabs>
          <w:tab w:leader="none" w:pos="22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and each of its Subsidiaries have established and maintain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0" w:lineRule="exact"/>
        <w:rPr>
          <w:rFonts w:ascii="Arial" w:cs="Arial" w:eastAsia="Arial" w:hAnsi="Arial"/>
          <w:sz w:val="17"/>
          <w:szCs w:val="17"/>
          <w:color w:val="auto"/>
        </w:rPr>
      </w:pPr>
    </w:p>
    <w:p>
      <w:pPr>
        <w:jc w:val="both"/>
        <w:ind w:firstLine="1304"/>
        <w:spacing w:after="0" w:line="275" w:lineRule="auto"/>
        <w:tabs>
          <w:tab w:leader="none" w:pos="2379"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of its or their respective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spacing w:after="0" w:line="176" w:lineRule="exact"/>
        <w:rPr>
          <w:rFonts w:ascii="Arial" w:cs="Arial" w:eastAsia="Arial" w:hAnsi="Arial"/>
          <w:sz w:val="17"/>
          <w:szCs w:val="17"/>
          <w:color w:val="auto"/>
        </w:rPr>
      </w:pPr>
    </w:p>
    <w:p>
      <w:pPr>
        <w:jc w:val="both"/>
        <w:ind w:firstLine="1304"/>
        <w:spacing w:after="0" w:line="271" w:lineRule="auto"/>
        <w:tabs>
          <w:tab w:leader="none" w:pos="22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as set forth in the Registration Statement or the Prospectus, the Company and its Subsidiaries (i) are in compliance in all material respects with any and all applicable federal, state, local and foreign laws, rules, regulations, decisions and orders relating to the protection of human health and safety, the environment or hazardous or toxic substances or wastes, pollutants or contaminants (collectively, “Environmental Laws”);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ind w:firstLine="1304"/>
        <w:spacing w:after="0" w:line="279" w:lineRule="auto"/>
        <w:tabs>
          <w:tab w:leader="none" w:pos="22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the knowledge of the Company, each material employee benefit plan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The Company does not have any material benefit plans within the meaning of Section 3(3) of the Employee Retirement Income Security Act of 1974, as amended.</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21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is in compliance with, and there is and has been no failure on the part of the Company and, to the Company’s knowledge, any of the Company’s directors or officers, in their capacities as such, to comply with, any applicable provision of the Sarbanes-Oxley Act of 2002 and all rules and regulations promulgated thereunder or implementing the provisions thereof (the “</w:t>
      </w:r>
      <w:r>
        <w:rPr>
          <w:rFonts w:ascii="Arial" w:cs="Arial" w:eastAsia="Arial" w:hAnsi="Arial"/>
          <w:sz w:val="18"/>
          <w:szCs w:val="18"/>
          <w:b w:val="1"/>
          <w:bCs w:val="1"/>
          <w:u w:val="single" w:color="auto"/>
          <w:color w:val="auto"/>
        </w:rPr>
        <w:t>Sarbanes-Oxley Act</w:t>
      </w:r>
      <w:r>
        <w:rPr>
          <w:rFonts w:ascii="Arial" w:cs="Arial" w:eastAsia="Arial" w:hAnsi="Arial"/>
          <w:sz w:val="18"/>
          <w:szCs w:val="18"/>
          <w:color w:val="auto"/>
        </w:rPr>
        <w:t>”), including Section 402 relating to loans.</w:t>
      </w:r>
    </w:p>
    <w:p>
      <w:pPr>
        <w:spacing w:after="0" w:line="186" w:lineRule="exact"/>
        <w:rPr>
          <w:rFonts w:ascii="Arial" w:cs="Arial" w:eastAsia="Arial" w:hAnsi="Arial"/>
          <w:sz w:val="18"/>
          <w:szCs w:val="18"/>
          <w:color w:val="auto"/>
        </w:rPr>
      </w:pPr>
    </w:p>
    <w:p>
      <w:pPr>
        <w:ind w:left="2200" w:hanging="896"/>
        <w:spacing w:after="0"/>
        <w:tabs>
          <w:tab w:leader="none" w:pos="2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9" w:lineRule="auto"/>
        <w:tabs>
          <w:tab w:leader="none" w:pos="2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None of the Company, any Subsidiary, affiliate, director, officer or employee thereof or, to the best of the Company’s knowledge, any agent, representative or other person acting on behalf of the Company or any of its Subsidiaries or affiliates, is aware of or has taken any action, directly or indirectly, that would result in a violation by such persons of any applicable anti-corruption laws, including the Foreign Corrupt Practices Act of 1977, as amended, and the rules and regulations thereunder (the “</w:t>
      </w:r>
      <w:r>
        <w:rPr>
          <w:rFonts w:ascii="Arial" w:cs="Arial" w:eastAsia="Arial" w:hAnsi="Arial"/>
          <w:sz w:val="17"/>
          <w:szCs w:val="17"/>
          <w:b w:val="1"/>
          <w:bCs w:val="1"/>
          <w:u w:val="single" w:color="auto"/>
          <w:color w:val="auto"/>
        </w:rPr>
        <w:t>FCPA</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otherwise took any action (or failed to fully disclose any action) in contravention of the FCPA; and the Company, its Subsidiaries and each of their respective affiliates have conducted their businesses in compliance with the FCPA and have instituted and maintain, and will continue to maintain, policies and procedures designed to ensure, and which are reasonably expected to continue to ensure, continued compliance therewith.</w:t>
      </w:r>
    </w:p>
    <w:p>
      <w:pPr>
        <w:spacing w:after="0" w:line="185" w:lineRule="exact"/>
        <w:rPr>
          <w:rFonts w:ascii="Arial" w:cs="Arial" w:eastAsia="Arial" w:hAnsi="Arial"/>
          <w:sz w:val="17"/>
          <w:szCs w:val="17"/>
          <w:color w:val="auto"/>
        </w:rPr>
      </w:pPr>
    </w:p>
    <w:p>
      <w:pPr>
        <w:jc w:val="both"/>
        <w:ind w:firstLine="1304"/>
        <w:spacing w:after="0" w:line="296" w:lineRule="auto"/>
        <w:tabs>
          <w:tab w:leader="none" w:pos="22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in all material respects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u w:val="single" w:color="auto"/>
          <w:color w:val="auto"/>
        </w:rPr>
        <w:t>Money Laundering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Laws</w:t>
      </w:r>
      <w:r>
        <w:rPr>
          <w:rFonts w:ascii="Arial" w:cs="Arial" w:eastAsia="Arial" w:hAnsi="Arial"/>
          <w:sz w:val="16"/>
          <w:szCs w:val="16"/>
          <w:color w:val="auto"/>
        </w:rPr>
        <w:t>”) and no action, suit, investigation or proceeding by or before any court or governmental agency, authority or body or any arbitrator involving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of its Subsidiaries with respect to the Money Laundering Laws is pending or, to the best of the Company’s knowledge, threatened.</w:t>
      </w:r>
    </w:p>
    <w:p>
      <w:pPr>
        <w:spacing w:after="0" w:line="161" w:lineRule="exact"/>
        <w:rPr>
          <w:rFonts w:ascii="Arial" w:cs="Arial" w:eastAsia="Arial" w:hAnsi="Arial"/>
          <w:sz w:val="16"/>
          <w:szCs w:val="16"/>
          <w:color w:val="auto"/>
        </w:rPr>
      </w:pPr>
    </w:p>
    <w:p>
      <w:pPr>
        <w:jc w:val="both"/>
        <w:ind w:firstLine="1304"/>
        <w:spacing w:after="0" w:line="287" w:lineRule="auto"/>
        <w:tabs>
          <w:tab w:leader="none" w:pos="22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Company’s knowledge any director or officer, employee, agent, affiliate or representative of the Company or any of its Subsidiaries, is currently or is owned or controlled by an individual or entity that is subject to any sanctions administered or enforced by the United States government (including, without limitation, the Office of Foreign Assets Control of the United States Department of the Treasury), the United Nations Security Council, the European Union, Her Majesty’s Treasury or other relevant sanctions authority (collectively, “</w:t>
      </w:r>
      <w:r>
        <w:rPr>
          <w:rFonts w:ascii="Arial" w:cs="Arial" w:eastAsia="Arial" w:hAnsi="Arial"/>
          <w:sz w:val="16"/>
          <w:szCs w:val="16"/>
          <w:b w:val="1"/>
          <w:bCs w:val="1"/>
          <w:u w:val="single" w:color="auto"/>
          <w:color w:val="auto"/>
        </w:rPr>
        <w:t>Sanctions</w:t>
      </w:r>
      <w:r>
        <w:rPr>
          <w:rFonts w:ascii="Arial" w:cs="Arial" w:eastAsia="Arial" w:hAnsi="Arial"/>
          <w:sz w:val="16"/>
          <w:szCs w:val="16"/>
          <w:color w:val="auto"/>
        </w:rPr>
        <w:t>”) or is located, organized or resident in a country or territory that is the subject or target of Sanctions; and the Company will not directly or indirectly use the proceeds of the sale of the Shares, or lend, contribute or otherwise make available such proceeds to any Subsidiary, or any joint venture partner or other person or entity, for the purpose of financing or facilitating the activities of or business of any person or entity, or in any country or territory, that currently or at the time of such financing or facilitation is the subject of any Sanctions or in any other manner that will result in a violation by any person or entity (including any person participating in the transactions contemplated by this Agreement) of any Sanctions. For the past five years, the Company and its Subsidiaries have not knowingly engaged in and are not now knowingly engaged in any dealings or transactions with any person or entity, or in any country or territory, that at the time of the dealing or transaction is or was the subject of Sanctions.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ind w:firstLine="1304"/>
        <w:spacing w:after="0" w:line="283" w:lineRule="auto"/>
        <w:tabs>
          <w:tab w:leader="none" w:pos="2203"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or the Prospectus, the Company and its Subsidiaries own, possess, license or have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 necessary for the conduct of their respective businesses in all material respects. Except as set forth in the Registration Statement and the Prospectus, (i) there are no rights of third parties to any such Intellectual Property, including no liens, security interests, or other encumbrances; (ii) to the knowledge of the Company, no third party has any ownership right in or to any Intellectual Property that is owned or purported to be owned by the Company or any of its Subsidiaries, other than any co-owner of any patent constituting Intellectual Property who is listed on the records of the U.S. Patent and Trademark Office and any co-owner of any patent application constituting Intellectual Property who is named in such patent application; (iii) to the Company’s knowledge, there is no material infringement or misappropriation by third parties of any such Intellectual Property; (vi) there is no pending or, to the Company’s knowledge, threatened action, suit, proceeding or claim by others challenging the Company’s rights in or to any such Intellectual Property, and the Company is aware of no factual basis for any such claim; (v) such Intellectual Property has not been adjudged by a court of competent jurisdiction invalid or unenforceable, in whole or in part, there is no pending or, to the Company’s knowledge, threatened action, suit, proceeding or claim by others challenging the validity or scope of any such Intellectual Property, including interferences, oppositions, reexaminations, or government proceedings, and the Company is aware of no factual basis for any such claim; (vi) there is no pending or, to the Company’s knowledge, threatened action, suit, proceeding or claim by others that the Company infringes, misappropriates, or otherwise violates any patent, trademark, copyright, trade secret or other proprietary rights of others, and the Company is aware of no factual basis for any such claim; (vii) neither the Company nor any of its Subsidiaries has received notice of any claim of infringement, misappropriation or conflict with any asserted rights of others with respect to any of the Company’s products, proposed products, processes or Intellectual Property; (viii) to the knowledge of the Company, neither the development nor sale nor any currently proposed use of any of the Company’s product candidates or processes referred to in the Prospectus, in the current conduct of the business of the Company in the manner and to the extent described in the Prospectus, do currently, or will upon commercialization, to the knowledge of the Company, infringe any proprietary right or valid patent claim of any third party; (ix) the Company is not obligated to pay a material royalty, grant a license, or provide other material consideration to any third party in connection with the Intellectual Property; (x)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(xi) to the Company’s knowledge, there is no patent or published patent application in the United States or other jurisdiction which contains claims that dominate or may dominate any Intellectual Property described in the Prospectus as being owned by or licensed to the Company or that interferes with the issued or pending claims of any such Intellectual Property; (xii) to the Company’s knowledge, there is no prior art that may render any patent held by the Company invalid or any patent application held by the Company unpatentable; and (xiii) all prior art of which the Company is aware that may be material to the validity of a U.S. patent or to the patentability of a U.S. patent application has been disclosed to the U.S. Patent and Trademark Office, and all such prior art has been disclosed to the patent office of other jurisdictions where required; and (xiv) the Company has taken all reasonable measures to protect its confidential information and trade secrets and to maintain and safeguard the Intellectual Property, including the execution of appropriate nondisclosure and confidentiality agreements. All licenses and material agreements to which the Company is a party relating to the Intellectual Property are in full force and effect and the Company is not in violation of any term of such license.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ind w:firstLine="1304"/>
        <w:spacing w:after="0" w:line="284" w:lineRule="auto"/>
        <w:tabs>
          <w:tab w:leader="none" w:pos="225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and each of its Subsidiaries (i) are and have at all times been in material compliance with all laws, statutes, rules, regulations or guidance applicable to the Company and its Subsidiaries and the ownership, testing, development, manufacture, packaging, processing, use, distribution, marketing, advertising, labeling, promotion, sale, offer for sale, storage, import, export or disposal of any pharmaceuticals or biohazardous substances, materials or any other products developed, manufactured or distributed by the Company (including, without limitation, from the United States Food and Drug Administration (“</w:t>
      </w:r>
      <w:r>
        <w:rPr>
          <w:rFonts w:ascii="Arial" w:cs="Arial" w:eastAsia="Arial" w:hAnsi="Arial"/>
          <w:sz w:val="16"/>
          <w:szCs w:val="16"/>
          <w:b w:val="1"/>
          <w:bCs w:val="1"/>
          <w:u w:val="single" w:color="auto"/>
          <w:color w:val="auto"/>
        </w:rPr>
        <w:t>FDA</w:t>
      </w:r>
      <w:r>
        <w:rPr>
          <w:rFonts w:ascii="Arial" w:cs="Arial" w:eastAsia="Arial" w:hAnsi="Arial"/>
          <w:sz w:val="16"/>
          <w:szCs w:val="16"/>
          <w:color w:val="auto"/>
        </w:rPr>
        <w:t>”), European Medicines Agency (“</w:t>
      </w:r>
      <w:r>
        <w:rPr>
          <w:rFonts w:ascii="Arial" w:cs="Arial" w:eastAsia="Arial" w:hAnsi="Arial"/>
          <w:sz w:val="16"/>
          <w:szCs w:val="16"/>
          <w:b w:val="1"/>
          <w:bCs w:val="1"/>
          <w:u w:val="single" w:color="auto"/>
          <w:color w:val="auto"/>
        </w:rPr>
        <w:t>EMA</w:t>
      </w:r>
      <w:r>
        <w:rPr>
          <w:rFonts w:ascii="Arial" w:cs="Arial" w:eastAsia="Arial" w:hAnsi="Arial"/>
          <w:sz w:val="16"/>
          <w:szCs w:val="16"/>
          <w:color w:val="auto"/>
        </w:rPr>
        <w:t>”) and any local or other governmental or regulatory authority performing functions similar to those performed by the FDA or EMA) (collectively, “</w:t>
      </w:r>
      <w:r>
        <w:rPr>
          <w:rFonts w:ascii="Arial" w:cs="Arial" w:eastAsia="Arial" w:hAnsi="Arial"/>
          <w:sz w:val="16"/>
          <w:szCs w:val="16"/>
          <w:b w:val="1"/>
          <w:bCs w:val="1"/>
          <w:u w:val="single" w:color="auto"/>
          <w:color w:val="auto"/>
        </w:rPr>
        <w:t>Applicable Laws</w:t>
      </w:r>
      <w:r>
        <w:rPr>
          <w:rFonts w:ascii="Arial" w:cs="Arial" w:eastAsia="Arial" w:hAnsi="Arial"/>
          <w:sz w:val="16"/>
          <w:szCs w:val="16"/>
          <w:color w:val="auto"/>
        </w:rPr>
        <w:t>”), except as could not, individually or in the aggregate, reasonably be expected to result in a Material Adverse Effect, (ii) have not received any notice of adverse finding, warning letter, untitled letter or other correspondence or notice from the FDA or any other federal, state or foreign governmental authority having authority over the Company, any of its Subsidiaries or their activities alleging or asserting noncompliance with any Applicable Laws or any licenses, certificates, approvals, clearances, authorizations, permits and supplements or amendments thereto required by any such Applicable Laws (collectively, the “</w:t>
      </w:r>
      <w:r>
        <w:rPr>
          <w:rFonts w:ascii="Arial" w:cs="Arial" w:eastAsia="Arial" w:hAnsi="Arial"/>
          <w:sz w:val="16"/>
          <w:szCs w:val="16"/>
          <w:b w:val="1"/>
          <w:bCs w:val="1"/>
          <w:u w:val="single" w:color="auto"/>
          <w:color w:val="auto"/>
        </w:rPr>
        <w:t>Governmental Permits</w:t>
      </w:r>
      <w:r>
        <w:rPr>
          <w:rFonts w:ascii="Arial" w:cs="Arial" w:eastAsia="Arial" w:hAnsi="Arial"/>
          <w:sz w:val="16"/>
          <w:szCs w:val="16"/>
          <w:color w:val="auto"/>
        </w:rPr>
        <w:t>”), (iii) have made all filings with, the appropriate local, or other governmental or regulatory agencies or bodies that are necessary for the ownership or lease of their respective properties or the conduct of their respective businesses as described in the Registration Statement and the Prospectus, except where any failures to possess or make the same would not, singularly or in the aggregate, have a Material Adverse Effect, (iv) possess all material Governmental Permits necessary to conduct their respective businesses as described in the Registration Statement and the Prospectus, and such Governmental Permits are valid and in full force and effect and are not in violation of any term of any such Governmental Permits, (v) have filed, obtained, maintained or submitted all material reports, documents, forms, notices, applications, records, claims, submissions and supplements or amendments as required by any Applicable Laws or Governmental Permits and that all such reports, documents, forms, notices, applications, records, claims, submissions and supplements or amendments were complete and correct in all material respects on the date filed (or were corrected or supplemented by a subsequent submission), and (vi) are not a party to any corporate integrity agreements, monitoring agreements, consent decrees, settlement orders or similar agreements with or imposed by any governmental authority. All Governmental Permits are valid and in full force and effect, except where the validity or failure to be in full force and effect would not, singularly or in the aggregate, have a Material Adverse Effect.</w:t>
      </w:r>
    </w:p>
    <w:p>
      <w:pPr>
        <w:spacing w:after="0" w:line="179" w:lineRule="exact"/>
        <w:rPr>
          <w:rFonts w:ascii="Arial" w:cs="Arial" w:eastAsia="Arial" w:hAnsi="Arial"/>
          <w:sz w:val="16"/>
          <w:szCs w:val="16"/>
          <w:color w:val="auto"/>
        </w:rPr>
      </w:pPr>
    </w:p>
    <w:p>
      <w:pPr>
        <w:jc w:val="both"/>
        <w:ind w:firstLine="1304"/>
        <w:spacing w:after="0" w:line="269" w:lineRule="auto"/>
        <w:tabs>
          <w:tab w:leader="none" w:pos="23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There is no legal or governmental proceeding to which the Company or any of its Subsidiaries is a party or of which any property or assets of the Company or any of its Subsidiaries is the subject, including any proceeding before the FDA, the EMA or any foreign, local, national or other governmental agency with jurisdiction over the types of products being developed by the Company that is required to be described in the Registration Statement or the Prospectus and is not described therein, or which, singularly or in the aggregate, if determined adversely to the Company or any of its Subsidiaries, could reasonably be expected to have a Material Adverse Effect; and no such proceedings are threatened or contemplated by governmental or regulatory authorities or threatened by others. The Company and its Subsidiaries (i) have not received notice of any claim, action, suit, proceeding, hearing, enforcement, investigation, arbitration or other action from any governmental authority or third party alleging that any product operation or activity is in violation of any Applicable Laws or Governmental Permits and have no knowledge that any such governmental authority or third party is considering any such claim, litigation, arbitration, action, suit, investigation or proceeding and (ii) have not received notice that any governmental authority has taken, is taking or intends to take action to limit, suspend, modify or revoke any Governmental Permits and the Company has no knowledge that any such governmental authority is considering such action.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ind w:firstLine="1304"/>
        <w:spacing w:after="0" w:line="286" w:lineRule="auto"/>
        <w:tabs>
          <w:tab w:leader="none" w:pos="2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research, non-clinical pre-clinical studies and clinical studies and tests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the “</w:t>
      </w:r>
      <w:r>
        <w:rPr>
          <w:rFonts w:ascii="Arial" w:cs="Arial" w:eastAsia="Arial" w:hAnsi="Arial"/>
          <w:sz w:val="16"/>
          <w:szCs w:val="16"/>
          <w:b w:val="1"/>
          <w:bCs w:val="1"/>
          <w:u w:val="single" w:color="auto"/>
          <w:color w:val="auto"/>
        </w:rPr>
        <w:t>Studies</w:t>
      </w:r>
      <w:r>
        <w:rPr>
          <w:rFonts w:ascii="Arial" w:cs="Arial" w:eastAsia="Arial" w:hAnsi="Arial"/>
          <w:sz w:val="16"/>
          <w:szCs w:val="16"/>
          <w:color w:val="auto"/>
        </w:rPr>
        <w:t>”) that are described in, or the results of which are referred to in, the Registration Statement and the Prospectus were and, if still pending, are being conducted with reasonable care and in all material respects in accordance with the protocols, procedures and controls pursuant to all Applicable Laws and Governmental Permits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research, non-clinical studies or tests the results of which are inconsistent with, or otherwise call into question, the results described or referred to in the Registration Statement and the Prospectus; the Company and its Subsidiaries have made all such filings and obtained all such approvals as may be required by the EMA, the FDA or any committee thereof or from any other United States or foreign government agency with jurisdiction over the types of products being developed by the Company; neither the Company nor any of its Subsidiaries has received any notice of, or correspondence from, any governmental authority requiring the termination, suspension or modification of any Study; and the Company and its Subsidiaries have each operated and currently are in compliance in all material respects with all applicable rules, regulations and policies of all governmental authorities. To the Company’s knowledge, the manufacturing facilities and operations of its suppliers are operated in compliance in all material respects with all Applicable Laws and Governmental Permits.</w:t>
      </w:r>
    </w:p>
    <w:p>
      <w:pPr>
        <w:spacing w:after="0" w:line="170" w:lineRule="exact"/>
        <w:rPr>
          <w:rFonts w:ascii="Arial" w:cs="Arial" w:eastAsia="Arial" w:hAnsi="Arial"/>
          <w:sz w:val="16"/>
          <w:szCs w:val="16"/>
          <w:color w:val="auto"/>
        </w:rPr>
      </w:pPr>
    </w:p>
    <w:p>
      <w:pPr>
        <w:jc w:val="both"/>
        <w:ind w:firstLine="1304"/>
        <w:spacing w:after="0" w:line="296" w:lineRule="auto"/>
        <w:tabs>
          <w:tab w:leader="none" w:pos="25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Company acknowledges and agrees that the Agent has informed the Company that the Agent may, to the extent permitted under the Securities Act and the Exchange Act, purchase and sell Shares for its own account while this Agreement is in effect; </w:t>
      </w:r>
      <w:r>
        <w:rPr>
          <w:rFonts w:ascii="Arial" w:cs="Arial" w:eastAsia="Arial" w:hAnsi="Arial"/>
          <w:sz w:val="16"/>
          <w:szCs w:val="16"/>
          <w:i w:val="1"/>
          <w:iCs w:val="1"/>
          <w:color w:val="auto"/>
        </w:rPr>
        <w:t>provided</w:t>
      </w:r>
      <w:r>
        <w:rPr>
          <w:rFonts w:ascii="Arial" w:cs="Arial" w:eastAsia="Arial" w:hAnsi="Arial"/>
          <w:sz w:val="16"/>
          <w:szCs w:val="16"/>
          <w:color w:val="auto"/>
        </w:rPr>
        <w:t>,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61" w:lineRule="exact"/>
        <w:rPr>
          <w:rFonts w:ascii="Arial" w:cs="Arial" w:eastAsia="Arial" w:hAnsi="Arial"/>
          <w:sz w:val="16"/>
          <w:szCs w:val="16"/>
          <w:color w:val="auto"/>
        </w:rPr>
      </w:pPr>
    </w:p>
    <w:p>
      <w:pPr>
        <w:ind w:left="2160" w:hanging="856"/>
        <w:spacing w:after="0"/>
        <w:tabs>
          <w:tab w:leader="none" w:pos="2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is not a party to any agreement with an agent or underwriter for any other “at the market” or continuous equity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transaction.</w:t>
      </w:r>
    </w:p>
    <w:p>
      <w:pPr>
        <w:spacing w:after="0" w:line="210" w:lineRule="exact"/>
        <w:rPr>
          <w:rFonts w:ascii="Arial" w:cs="Arial" w:eastAsia="Arial" w:hAnsi="Arial"/>
          <w:sz w:val="16"/>
          <w:szCs w:val="16"/>
          <w:color w:val="auto"/>
        </w:rPr>
      </w:pPr>
    </w:p>
    <w:p>
      <w:pPr>
        <w:jc w:val="both"/>
        <w:ind w:firstLine="1304"/>
        <w:spacing w:after="0" w:line="254" w:lineRule="auto"/>
        <w:tabs>
          <w:tab w:leader="none" w:pos="22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94" w:lineRule="exact"/>
        <w:rPr>
          <w:rFonts w:ascii="Arial" w:cs="Arial" w:eastAsia="Arial" w:hAnsi="Arial"/>
          <w:sz w:val="18"/>
          <w:szCs w:val="18"/>
          <w:color w:val="auto"/>
        </w:rPr>
      </w:pPr>
    </w:p>
    <w:p>
      <w:pPr>
        <w:ind w:left="2240" w:hanging="936"/>
        <w:spacing w:after="0"/>
        <w:tabs>
          <w:tab w:leader="none" w:pos="2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is not a shell company (as defined in Rule 405) and has not been a shell company for at least 12 calendar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months previously.</w:t>
      </w:r>
    </w:p>
    <w:p>
      <w:pPr>
        <w:spacing w:after="0" w:line="210" w:lineRule="exact"/>
        <w:rPr>
          <w:rFonts w:ascii="Arial" w:cs="Arial" w:eastAsia="Arial" w:hAnsi="Arial"/>
          <w:sz w:val="16"/>
          <w:szCs w:val="16"/>
          <w:color w:val="auto"/>
        </w:rPr>
      </w:pPr>
    </w:p>
    <w:p>
      <w:pPr>
        <w:jc w:val="both"/>
        <w:ind w:firstLine="1304"/>
        <w:spacing w:after="0" w:line="259" w:lineRule="auto"/>
        <w:tabs>
          <w:tab w:leader="none" w:pos="21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the independent directors (or independent director nominees, once appointed, if applicable) named in the Registration Statement and Prospectus satisfies the independence standards established by Nasdaq and, with respect to members of the Company’s audit committee, other than with respect to any non-independent director identified in the Registration Statement or Prospectus, the enhanced independence standards contained in Rule 10A-3(b)(1) promulgated by the Commission under the Exchange Act.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ind w:firstLine="1304"/>
        <w:spacing w:after="0" w:line="287" w:lineRule="auto"/>
        <w:tabs>
          <w:tab w:leader="none" w:pos="22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w:t>
      </w:r>
    </w:p>
    <w:p>
      <w:pPr>
        <w:spacing w:after="0" w:line="2" w:lineRule="exact"/>
        <w:rPr>
          <w:rFonts w:ascii="Arial" w:cs="Arial" w:eastAsia="Arial" w:hAnsi="Arial"/>
          <w:sz w:val="16"/>
          <w:szCs w:val="16"/>
          <w:color w:val="auto"/>
        </w:rPr>
      </w:pPr>
    </w:p>
    <w:p>
      <w:pPr>
        <w:jc w:val="both"/>
        <w:ind w:firstLine="8"/>
        <w:spacing w:after="0" w:line="255" w:lineRule="auto"/>
        <w:tabs>
          <w:tab w:leader="none" w:pos="2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89" w:lineRule="exact"/>
        <w:rPr>
          <w:rFonts w:ascii="Arial" w:cs="Arial" w:eastAsia="Arial" w:hAnsi="Arial"/>
          <w:sz w:val="18"/>
          <w:szCs w:val="18"/>
          <w:color w:val="auto"/>
        </w:rPr>
      </w:pPr>
    </w:p>
    <w:p>
      <w:pPr>
        <w:ind w:left="2160" w:hanging="856"/>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is not in or subject to a bankruptcy or insolvency proceeding in any jurisdiction.</w:t>
      </w:r>
    </w:p>
    <w:p>
      <w:pPr>
        <w:spacing w:after="0" w:line="225" w:lineRule="exact"/>
        <w:rPr>
          <w:sz w:val="20"/>
          <w:szCs w:val="20"/>
          <w:color w:val="auto"/>
        </w:rPr>
      </w:pPr>
    </w:p>
    <w:p>
      <w:pPr>
        <w:jc w:val="both"/>
        <w:ind w:firstLine="1304"/>
        <w:spacing w:after="0" w:line="269" w:lineRule="auto"/>
        <w:tabs>
          <w:tab w:leader="none" w:pos="2226"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neither the Company nor any of its Subsidiaries has breached and is currently in breach of any provision of any license, contract or other agreement governing the use by the Company or its Subsidiaries of Intellectual Property owned by third parties (collectively, the “</w:t>
      </w:r>
      <w:r>
        <w:rPr>
          <w:rFonts w:ascii="Arial" w:cs="Arial" w:eastAsia="Arial" w:hAnsi="Arial"/>
          <w:sz w:val="17"/>
          <w:szCs w:val="17"/>
          <w:b w:val="1"/>
          <w:bCs w:val="1"/>
          <w:u w:val="single" w:color="auto"/>
          <w:color w:val="auto"/>
        </w:rPr>
        <w:t>Licenses</w:t>
      </w:r>
      <w:r>
        <w:rPr>
          <w:rFonts w:ascii="Arial" w:cs="Arial" w:eastAsia="Arial" w:hAnsi="Arial"/>
          <w:sz w:val="17"/>
          <w:szCs w:val="17"/>
          <w:color w:val="auto"/>
        </w:rPr>
        <w:t>”)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have a Material Adverse Effect, neither the Company nor any of its Subsidiaries has been and is currently involved in any disputes regarding the Licenses. To the Company’s knowledge, all patents licensed to the Company pursuant to the Licenses are valid, enforceable and being duly maintained. To the Company’s knowledge, any patent applications licensed to the Company pursuant to the Licenses are being duly prosecuted.</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70" w:lineRule="exact"/>
        <w:rPr>
          <w:sz w:val="20"/>
          <w:szCs w:val="20"/>
          <w:color w:val="auto"/>
        </w:rPr>
      </w:pPr>
    </w:p>
    <w:p>
      <w:pPr>
        <w:ind w:left="1640" w:hanging="984"/>
        <w:spacing w:after="0"/>
        <w:tabs>
          <w:tab w:leader="none" w:pos="16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the Agent that:</w:t>
      </w:r>
    </w:p>
    <w:p>
      <w:pPr>
        <w:spacing w:after="0" w:line="225" w:lineRule="exact"/>
        <w:rPr>
          <w:rFonts w:ascii="Arial" w:cs="Arial" w:eastAsia="Arial" w:hAnsi="Arial"/>
          <w:sz w:val="18"/>
          <w:szCs w:val="18"/>
          <w:color w:val="auto"/>
        </w:rPr>
      </w:pPr>
    </w:p>
    <w:p>
      <w:pPr>
        <w:jc w:val="both"/>
        <w:ind w:firstLine="1304"/>
        <w:spacing w:after="0" w:line="284" w:lineRule="auto"/>
        <w:tabs>
          <w:tab w:leader="none" w:pos="2485"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Registration Statement Amendments</w:t>
      </w:r>
      <w:r>
        <w:rPr>
          <w:rFonts w:ascii="Arial" w:cs="Arial" w:eastAsia="Arial" w:hAnsi="Arial"/>
          <w:sz w:val="16"/>
          <w:szCs w:val="16"/>
          <w:color w:val="auto"/>
        </w:rPr>
        <w:t xml:space="preserve">.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ind w:firstLine="1304"/>
        <w:spacing w:after="0" w:line="272" w:lineRule="auto"/>
        <w:tabs>
          <w:tab w:leader="none" w:pos="252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Notice of Commission Stop Orders</w:t>
      </w:r>
      <w:r>
        <w:rPr>
          <w:rFonts w:ascii="Arial" w:cs="Arial" w:eastAsia="Arial" w:hAnsi="Arial"/>
          <w:sz w:val="17"/>
          <w:szCs w:val="17"/>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77" w:lineRule="exact"/>
        <w:rPr>
          <w:rFonts w:ascii="Arial" w:cs="Arial" w:eastAsia="Arial" w:hAnsi="Arial"/>
          <w:sz w:val="17"/>
          <w:szCs w:val="17"/>
          <w:color w:val="auto"/>
        </w:rPr>
      </w:pPr>
    </w:p>
    <w:p>
      <w:pPr>
        <w:jc w:val="both"/>
        <w:ind w:firstLine="1304"/>
        <w:spacing w:after="0" w:line="268" w:lineRule="auto"/>
        <w:tabs>
          <w:tab w:leader="none" w:pos="224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Delivery of Prospectus; Subsequent Changes</w:t>
      </w:r>
      <w:r>
        <w:rPr>
          <w:rFonts w:ascii="Arial" w:cs="Arial" w:eastAsia="Arial" w:hAnsi="Arial"/>
          <w:sz w:val="17"/>
          <w:szCs w:val="17"/>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of the Securities Act Rules or a similar rule), the Company will comply in all material respects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spacing w:after="0" w:line="184" w:lineRule="exact"/>
        <w:rPr>
          <w:rFonts w:ascii="Arial" w:cs="Arial" w:eastAsia="Arial" w:hAnsi="Arial"/>
          <w:sz w:val="17"/>
          <w:szCs w:val="17"/>
          <w:color w:val="auto"/>
        </w:rPr>
      </w:pPr>
    </w:p>
    <w:p>
      <w:pPr>
        <w:jc w:val="both"/>
        <w:ind w:firstLine="1304"/>
        <w:spacing w:after="0" w:line="257" w:lineRule="auto"/>
        <w:tabs>
          <w:tab w:leader="none" w:pos="233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both"/>
        <w:ind w:firstLine="1304"/>
        <w:spacing w:after="0" w:line="291" w:lineRule="auto"/>
        <w:tabs>
          <w:tab w:leader="none" w:pos="221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Delivery of Registration Statement and Prospectus</w:t>
      </w:r>
      <w:r>
        <w:rPr>
          <w:rFonts w:ascii="Arial" w:cs="Arial" w:eastAsia="Arial" w:hAnsi="Arial"/>
          <w:sz w:val="16"/>
          <w:szCs w:val="16"/>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furnish any document (other than the Prospectus) to the Agent to the extent such document is available on EDGAR.</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257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234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The Company will pay all expenses incident to the performance of its obligations hereunder, including, but not limited to,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 </w:t>
      </w:r>
      <w:r>
        <w:rPr>
          <w:rFonts w:ascii="Arial" w:cs="Arial" w:eastAsia="Arial" w:hAnsi="Arial"/>
          <w:sz w:val="17"/>
          <w:szCs w:val="17"/>
          <w:u w:val="single" w:color="auto"/>
          <w:color w:val="auto"/>
        </w:rPr>
        <w:t>Section 7(w)</w:t>
      </w:r>
      <w:r>
        <w:rPr>
          <w:rFonts w:ascii="Arial" w:cs="Arial" w:eastAsia="Arial" w:hAnsi="Arial"/>
          <w:sz w:val="17"/>
          <w:szCs w:val="17"/>
          <w:color w:val="auto"/>
        </w:rPr>
        <w:t xml:space="preserve">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and (v) the fees and expenses incurred in connection with the listing or qualification of the Placement Shares for trading on Nasdaq, (vi) the filing fees and expenses, if any, owed to the Commission or FINRA and the fees and expenses of any transfer agent or registrar for the Shares.</w:t>
      </w:r>
    </w:p>
    <w:p>
      <w:pPr>
        <w:spacing w:after="0" w:line="185" w:lineRule="exact"/>
        <w:rPr>
          <w:rFonts w:ascii="Arial" w:cs="Arial" w:eastAsia="Arial" w:hAnsi="Arial"/>
          <w:sz w:val="17"/>
          <w:szCs w:val="17"/>
          <w:color w:val="auto"/>
        </w:rPr>
      </w:pPr>
    </w:p>
    <w:p>
      <w:pPr>
        <w:ind w:left="2440" w:hanging="1136"/>
        <w:spacing w:after="0"/>
        <w:tabs>
          <w:tab w:leader="none" w:pos="244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will use the Net Proceeds as described in the Prospectus in the section entitled “Use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Proceeds.”</w:t>
      </w:r>
    </w:p>
    <w:p>
      <w:pPr>
        <w:spacing w:after="0" w:line="210" w:lineRule="exact"/>
        <w:rPr>
          <w:rFonts w:ascii="Arial" w:cs="Arial" w:eastAsia="Arial" w:hAnsi="Arial"/>
          <w:sz w:val="16"/>
          <w:szCs w:val="16"/>
          <w:color w:val="auto"/>
        </w:rPr>
      </w:pPr>
    </w:p>
    <w:p>
      <w:pPr>
        <w:jc w:val="both"/>
        <w:ind w:firstLine="1304"/>
        <w:spacing w:after="0" w:line="285" w:lineRule="auto"/>
        <w:tabs>
          <w:tab w:leader="none" w:pos="231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xml:space="preserve">. Without the prior written consent of the Agent, the Company will not, directly or indirectly, offer to sell, sell, contract to sell, grant any option to sell or otherwise dispose of any Shares (other than the Placement Shares offered pursuant to this Agreement) or securities convertible into or exchangeable or exercisable for Shares, warrants or any rights to purchase or acquire Shares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(other than the Placement Shares offered pursuant to this Agreement) or securities convertible into or exchangeable or exercisable for Shares, warrants or any rights to purchase or acquire, Shares prior to the later of the termination of this Agreement and the sixtieth day immediately following the final Settlement Date with respect to Placement Shares sold pursuant to such Placement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restrictions will not be required in connection with the Company’s issuance or sale of (i) Shares, options to purchase Shares, other securities under the Company’s existing equity incentive plans, or Shares issuable upon the exercise of options or vesting of other securities, pursuant to any employee or director share option or benefits plan, share ownership plan or dividend reinvestment plan (but not Shares subject to a waiver to exceed plan limits in its dividend reinvestment plan) of the Company whether now in effect or hereafter implemented, (ii) Shares issuable upon conversion of securities or the exercise of warrants, options or other rights in effect or outstanding, and disclosed in filings by the Company available on EDGAR or otherwise in writing to the Agent and (iii) Shares or securities convertible into or exchangeable for Shares as consideration for mergers, acquisitions, other business combinations or strategic alliances occurring after the date of this Agreement which are not issued for capital raising purposes.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firstLine="1304"/>
        <w:spacing w:after="0" w:line="286" w:lineRule="auto"/>
        <w:tabs>
          <w:tab w:leader="none" w:pos="240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Change of Circumstances</w:t>
      </w:r>
      <w:r>
        <w:rPr>
          <w:rFonts w:ascii="Arial" w:cs="Arial" w:eastAsia="Arial" w:hAnsi="Arial"/>
          <w:sz w:val="17"/>
          <w:szCs w:val="17"/>
          <w:color w:val="auto"/>
        </w:rPr>
        <w:t>. The Company will, at any time during the pendency of a Placement Notice,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248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Due Diligence Cooperation</w:t>
      </w:r>
      <w:r>
        <w:rPr>
          <w:rFonts w:ascii="Arial" w:cs="Arial" w:eastAsia="Arial" w:hAnsi="Arial"/>
          <w:sz w:val="18"/>
          <w:szCs w:val="18"/>
          <w:color w:val="auto"/>
        </w:rPr>
        <w:t>. During the term of this Agreement, the Company will cooperate with any reasonable due diligence review conducted by the Agent, its affiliates agents and counsel from time to time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86" w:lineRule="exact"/>
        <w:rPr>
          <w:rFonts w:ascii="Arial" w:cs="Arial" w:eastAsia="Arial" w:hAnsi="Arial"/>
          <w:sz w:val="18"/>
          <w:szCs w:val="18"/>
          <w:color w:val="auto"/>
        </w:rPr>
      </w:pPr>
    </w:p>
    <w:p>
      <w:pPr>
        <w:jc w:val="both"/>
        <w:ind w:firstLine="1304"/>
        <w:spacing w:after="0" w:line="289" w:lineRule="auto"/>
        <w:tabs>
          <w:tab w:leader="none" w:pos="244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Required Filings Relating to Placement of Placement Shares</w:t>
      </w:r>
      <w:r>
        <w:rPr>
          <w:rFonts w:ascii="Arial" w:cs="Arial" w:eastAsia="Arial" w:hAnsi="Arial"/>
          <w:sz w:val="16"/>
          <w:szCs w:val="16"/>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a prospectus supplement containing such information is required to be filed under the Securities Act, the requirement of this </w:t>
      </w:r>
      <w:r>
        <w:rPr>
          <w:rFonts w:ascii="Arial" w:cs="Arial" w:eastAsia="Arial" w:hAnsi="Arial"/>
          <w:sz w:val="16"/>
          <w:szCs w:val="16"/>
          <w:u w:val="single" w:color="auto"/>
          <w:color w:val="auto"/>
        </w:rPr>
        <w:t>Section 7(l)</w:t>
      </w:r>
      <w:r>
        <w:rPr>
          <w:rFonts w:ascii="Arial" w:cs="Arial" w:eastAsia="Arial" w:hAnsi="Arial"/>
          <w:sz w:val="16"/>
          <w:szCs w:val="16"/>
          <w:color w:val="auto"/>
        </w:rPr>
        <w:t xml:space="preserve"> may be satisfied by Company’s inclusion in the Company’s Form 10-K, Form 10-Q or Form 8-K, as applicable, of the number or amount of Placement Shares sold through the Agent, the Net Proceeds to the Company and the compensation payable by the Company to the Agent with respect to such Placement Shares during the relevant period.</w:t>
      </w:r>
    </w:p>
    <w:p>
      <w:pPr>
        <w:spacing w:after="0" w:line="166" w:lineRule="exact"/>
        <w:rPr>
          <w:rFonts w:ascii="Arial" w:cs="Arial" w:eastAsia="Arial" w:hAnsi="Arial"/>
          <w:sz w:val="16"/>
          <w:szCs w:val="16"/>
          <w:color w:val="auto"/>
        </w:rPr>
      </w:pPr>
    </w:p>
    <w:p>
      <w:pPr>
        <w:ind w:firstLine="1304"/>
        <w:spacing w:after="0" w:line="277" w:lineRule="auto"/>
        <w:tabs>
          <w:tab w:leader="none" w:pos="218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Representation Dates; Certificate</w:t>
      </w:r>
      <w:r>
        <w:rPr>
          <w:rFonts w:ascii="Arial" w:cs="Arial" w:eastAsia="Arial" w:hAnsi="Arial"/>
          <w:sz w:val="18"/>
          <w:szCs w:val="18"/>
          <w:color w:val="auto"/>
        </w:rPr>
        <w:t>. On or prior to the date on which the Company first delivers a Placement Notice pursuant to this agreement (the “</w:t>
      </w:r>
      <w:r>
        <w:rPr>
          <w:rFonts w:ascii="Arial" w:cs="Arial" w:eastAsia="Arial" w:hAnsi="Arial"/>
          <w:sz w:val="18"/>
          <w:szCs w:val="18"/>
          <w:b w:val="1"/>
          <w:bCs w:val="1"/>
          <w:u w:val="single" w:color="auto"/>
          <w:color w:val="auto"/>
        </w:rPr>
        <w:t>First Placement Notice Date</w:t>
      </w:r>
      <w:r>
        <w:rPr>
          <w:rFonts w:ascii="Arial" w:cs="Arial" w:eastAsia="Arial" w:hAnsi="Arial"/>
          <w:sz w:val="18"/>
          <w:szCs w:val="18"/>
          <w:color w:val="auto"/>
        </w:rPr>
        <w:t>”) and each time the Company:</w:t>
      </w:r>
    </w:p>
    <w:p>
      <w:pPr>
        <w:spacing w:after="0" w:line="170" w:lineRule="exact"/>
        <w:rPr>
          <w:rFonts w:ascii="Arial" w:cs="Arial" w:eastAsia="Arial" w:hAnsi="Arial"/>
          <w:sz w:val="18"/>
          <w:szCs w:val="18"/>
          <w:color w:val="auto"/>
        </w:rPr>
      </w:pPr>
    </w:p>
    <w:p>
      <w:pPr>
        <w:jc w:val="both"/>
        <w:ind w:firstLine="1952"/>
        <w:spacing w:after="0" w:line="311" w:lineRule="auto"/>
        <w:tabs>
          <w:tab w:leader="none" w:pos="2932"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amends or supplements the Registration Statement or the Prospectus relating to the Placement Shares (other than a prospectus supplement filed in accordance with </w:t>
      </w:r>
      <w:r>
        <w:rPr>
          <w:rFonts w:ascii="Arial" w:cs="Arial" w:eastAsia="Arial" w:hAnsi="Arial"/>
          <w:sz w:val="16"/>
          <w:szCs w:val="16"/>
          <w:u w:val="single" w:color="auto"/>
          <w:color w:val="auto"/>
        </w:rPr>
        <w:t>Section 7(l)</w:t>
      </w:r>
      <w:r>
        <w:rPr>
          <w:rFonts w:ascii="Arial" w:cs="Arial" w:eastAsia="Arial" w:hAnsi="Arial"/>
          <w:sz w:val="16"/>
          <w:szCs w:val="16"/>
          <w:color w:val="auto"/>
        </w:rPr>
        <w:t xml:space="preserve"> of this Agreement) by means of a post-effective amendment, sticker or supplement but not by means of incorporation of document(s) by reference into the Registration Statement or the Prospectus relating to the Placement Shares;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firstLine="1952"/>
        <w:spacing w:after="0" w:line="277" w:lineRule="auto"/>
        <w:tabs>
          <w:tab w:leader="none" w:pos="30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 (including any Form 10-K/A containing amended financial information or a material amendment to the previously filed Form 10-K);</w:t>
      </w:r>
    </w:p>
    <w:p>
      <w:pPr>
        <w:spacing w:after="0" w:line="170" w:lineRule="exact"/>
        <w:rPr>
          <w:rFonts w:ascii="Arial" w:cs="Arial" w:eastAsia="Arial" w:hAnsi="Arial"/>
          <w:sz w:val="18"/>
          <w:szCs w:val="18"/>
          <w:color w:val="auto"/>
        </w:rPr>
      </w:pPr>
    </w:p>
    <w:p>
      <w:pPr>
        <w:ind w:firstLine="1952"/>
        <w:spacing w:after="0" w:line="277" w:lineRule="auto"/>
        <w:tabs>
          <w:tab w:leader="none" w:pos="2839"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containing financial statements, supporting schedules or other financial data incorporated by reference into the Registration Statement; or</w:t>
      </w:r>
    </w:p>
    <w:p>
      <w:pPr>
        <w:spacing w:after="0" w:line="170" w:lineRule="exact"/>
        <w:rPr>
          <w:rFonts w:ascii="Arial" w:cs="Arial" w:eastAsia="Arial" w:hAnsi="Arial"/>
          <w:sz w:val="18"/>
          <w:szCs w:val="18"/>
          <w:color w:val="auto"/>
        </w:rPr>
      </w:pPr>
    </w:p>
    <w:p>
      <w:pPr>
        <w:jc w:val="both"/>
        <w:ind w:firstLine="1952"/>
        <w:spacing w:after="0" w:line="286" w:lineRule="auto"/>
        <w:tabs>
          <w:tab w:leader="none" w:pos="2901" w:val="left"/>
        </w:tabs>
        <w:numPr>
          <w:ilvl w:val="1"/>
          <w:numId w:val="30"/>
        </w:numPr>
        <w:rPr>
          <w:rFonts w:ascii="Arial" w:cs="Arial" w:eastAsia="Arial" w:hAnsi="Arial"/>
          <w:sz w:val="16"/>
          <w:szCs w:val="16"/>
          <w:color w:val="auto"/>
        </w:rPr>
      </w:pPr>
      <w:r>
        <w:rPr>
          <w:rFonts w:ascii="Arial" w:cs="Arial" w:eastAsia="Arial" w:hAnsi="Arial"/>
          <w:sz w:val="16"/>
          <w:szCs w:val="16"/>
          <w:color w:val="auto"/>
        </w:rPr>
        <w:t>files a current report on Form 8-K containing amended financial information under the Exchange Act incorporated by reference into the Registration Statement (each date of filing of one or more of the documents referred to in clauses (i) through (iv) shall be a “</w:t>
      </w:r>
      <w:r>
        <w:rPr>
          <w:rFonts w:ascii="Arial" w:cs="Arial" w:eastAsia="Arial" w:hAnsi="Arial"/>
          <w:sz w:val="16"/>
          <w:szCs w:val="16"/>
          <w:b w:val="1"/>
          <w:bCs w:val="1"/>
          <w:u w:val="single" w:color="auto"/>
          <w:color w:val="auto"/>
        </w:rPr>
        <w:t>Representation Date</w:t>
      </w:r>
      <w:r>
        <w:rPr>
          <w:rFonts w:ascii="Arial" w:cs="Arial" w:eastAsia="Arial" w:hAnsi="Arial"/>
          <w:sz w:val="16"/>
          <w:szCs w:val="16"/>
          <w:color w:val="auto"/>
        </w:rPr>
        <w:t xml:space="preserve">”), 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Arial" w:cs="Arial" w:eastAsia="Arial" w:hAnsi="Arial"/>
          <w:sz w:val="16"/>
          <w:szCs w:val="16"/>
          <w:b w:val="1"/>
          <w:bCs w:val="1"/>
          <w:u w:val="single" w:color="auto"/>
          <w:color w:val="auto"/>
        </w:rPr>
        <w:t>Exhibit 7(m)</w:t>
      </w:r>
      <w:r>
        <w:rPr>
          <w:rFonts w:ascii="Arial" w:cs="Arial" w:eastAsia="Arial" w:hAnsi="Arial"/>
          <w:sz w:val="16"/>
          <w:szCs w:val="16"/>
          <w:color w:val="auto"/>
        </w:rPr>
        <w:t xml:space="preserve"> (modified, as necessary, to relate to the Registration Statement and the Prospectus as then amended or supplemented), within two Trading Days of any Representation Date. The requirement to provide a certificate under this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waiver shall not apply for any Representation Date on which the Company files its annual report on Form 10-K (including any Form 10-K containing amended financial information or a material amendment to the previously filed Form 10-K). Notwithstanding the foregoing, if the Company subsequently decides to sell Placement Shares following a Representation Date on which the Company relied on the waiver referred to in the previous sentence and did not provide the Agent with a certificate under this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then before the Company delivers a Placement Notice or the Agent sells any Placement Shares pursuant thereto, the Company shall provide the Agent with a certificate, in the form attached hereto as </w:t>
      </w:r>
      <w:r>
        <w:rPr>
          <w:rFonts w:ascii="Arial" w:cs="Arial" w:eastAsia="Arial" w:hAnsi="Arial"/>
          <w:sz w:val="16"/>
          <w:szCs w:val="16"/>
          <w:b w:val="1"/>
          <w:bCs w:val="1"/>
          <w:u w:val="single" w:color="auto"/>
          <w:color w:val="auto"/>
        </w:rPr>
        <w:t>Exhibit 7(m)</w:t>
      </w:r>
      <w:r>
        <w:rPr>
          <w:rFonts w:ascii="Arial" w:cs="Arial" w:eastAsia="Arial" w:hAnsi="Arial"/>
          <w:sz w:val="16"/>
          <w:szCs w:val="16"/>
          <w:color w:val="auto"/>
        </w:rPr>
        <w:t>, dated the date of such Placement Notice. Within two Trading Days of each Representation Date, the Company shall have furnished to the Agent such further information, certificates and documents as the Agent may reasonably request.</w:t>
      </w:r>
    </w:p>
    <w:p>
      <w:pPr>
        <w:spacing w:after="0" w:line="167" w:lineRule="exact"/>
        <w:rPr>
          <w:rFonts w:ascii="Arial" w:cs="Arial" w:eastAsia="Arial" w:hAnsi="Arial"/>
          <w:sz w:val="16"/>
          <w:szCs w:val="16"/>
          <w:color w:val="auto"/>
        </w:rPr>
      </w:pPr>
    </w:p>
    <w:p>
      <w:pPr>
        <w:jc w:val="both"/>
        <w:ind w:firstLine="1304"/>
        <w:spacing w:after="0" w:line="288" w:lineRule="auto"/>
        <w:tabs>
          <w:tab w:leader="none" w:pos="2239"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On or prior to the First Placement Notice Date and on any date which the Company is obligated to deliver a certificate pursuant to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for which no waiver is applicable, the Company shall cause to be furnished to the Agent the written opinion and negative assurance letter of Dentons US LLP, counsel to the Company (“</w:t>
      </w:r>
      <w:r>
        <w:rPr>
          <w:rFonts w:ascii="Arial" w:cs="Arial" w:eastAsia="Arial" w:hAnsi="Arial"/>
          <w:sz w:val="16"/>
          <w:szCs w:val="16"/>
          <w:b w:val="1"/>
          <w:bCs w:val="1"/>
          <w:u w:val="single" w:color="auto"/>
          <w:color w:val="auto"/>
        </w:rPr>
        <w:t>Company Counsel</w:t>
      </w:r>
      <w:r>
        <w:rPr>
          <w:rFonts w:ascii="Arial" w:cs="Arial" w:eastAsia="Arial" w:hAnsi="Arial"/>
          <w:sz w:val="16"/>
          <w:szCs w:val="16"/>
          <w:color w:val="auto"/>
        </w:rPr>
        <w:t xml:space="preserve">”), in form and substance reasonably satisfactory to the Agent and its counsel, dated the date that the opinion and negative assurance letter, as applicable, are required to be delivered, modified, as necessary, to relate to the Registration Statement and the Prospectus as then amended or supplemented; provided, however, the Company shall be required to furnish to Agent no more than one negative assurance letter and one opinion hereunder per calendar quarter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in lieu of such opinion and negative assurance letter for subsequent Representation Dates, each Company Counsel may furnish the Agent with a letter to the effect that the Agent may rely on a prior opinion or negative assurance letter, as applicable, delivered by such counsel under this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68" w:lineRule="exact"/>
        <w:rPr>
          <w:rFonts w:ascii="Arial" w:cs="Arial" w:eastAsia="Arial" w:hAnsi="Arial"/>
          <w:sz w:val="16"/>
          <w:szCs w:val="16"/>
          <w:color w:val="auto"/>
        </w:rPr>
      </w:pPr>
    </w:p>
    <w:p>
      <w:pPr>
        <w:jc w:val="both"/>
        <w:ind w:firstLine="1304"/>
        <w:spacing w:after="0" w:line="289" w:lineRule="auto"/>
        <w:tabs>
          <w:tab w:leader="none" w:pos="2509"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Intellectual Property Opinion</w:t>
      </w:r>
      <w:r>
        <w:rPr>
          <w:rFonts w:ascii="Arial" w:cs="Arial" w:eastAsia="Arial" w:hAnsi="Arial"/>
          <w:sz w:val="16"/>
          <w:szCs w:val="16"/>
          <w:color w:val="auto"/>
        </w:rPr>
        <w:t xml:space="preserve">. On or prior to the First Placement Notice Date and on any date which the Company is obligated to deliver a certificate pursuant to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for which no waiver is applicable, the Company shall cause to be furnished to the Agent the written opinion of Baker &amp; Hostetler LLP, intellectual property counsel to the Company, with respect to intellectual property matters, or such other intellectual property counsel reasonably satisfactory to the Agent (“</w:t>
      </w:r>
      <w:r>
        <w:rPr>
          <w:rFonts w:ascii="Arial" w:cs="Arial" w:eastAsia="Arial" w:hAnsi="Arial"/>
          <w:sz w:val="16"/>
          <w:szCs w:val="16"/>
          <w:b w:val="1"/>
          <w:bCs w:val="1"/>
          <w:u w:val="single" w:color="auto"/>
          <w:color w:val="auto"/>
        </w:rPr>
        <w:t>Intellectual Property Counsel</w:t>
      </w:r>
      <w:r>
        <w:rPr>
          <w:rFonts w:ascii="Arial" w:cs="Arial" w:eastAsia="Arial" w:hAnsi="Arial"/>
          <w:sz w:val="16"/>
          <w:szCs w:val="16"/>
          <w:color w:val="auto"/>
        </w:rPr>
        <w:t xml:space="preserve">”), in form and substance reasonably satisfactory to the Agent and its counsel, dated the date that the opinion letter is required to be delivered, modified, as necessary, to relate to the Registration Statement and the Prospectus as then amended or supplemented;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lieu of such written opinion for subsequent Representation Dates, Intellectual Property Counsel may furnish the Agent with a letter to the effect that the Agent may rely on a prior opinion letter delivered by such counsel under this </w:t>
      </w:r>
      <w:r>
        <w:rPr>
          <w:rFonts w:ascii="Arial" w:cs="Arial" w:eastAsia="Arial" w:hAnsi="Arial"/>
          <w:sz w:val="16"/>
          <w:szCs w:val="16"/>
          <w:u w:val="single" w:color="auto"/>
          <w:color w:val="auto"/>
        </w:rPr>
        <w:t>Section 7(o)</w:t>
      </w:r>
      <w:r>
        <w:rPr>
          <w:rFonts w:ascii="Arial" w:cs="Arial" w:eastAsia="Arial" w:hAnsi="Arial"/>
          <w:sz w:val="16"/>
          <w:szCs w:val="16"/>
          <w:color w:val="auto"/>
        </w:rPr>
        <w:t xml:space="preserve">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both"/>
        <w:ind w:firstLine="1304"/>
        <w:spacing w:after="0" w:line="268" w:lineRule="auto"/>
        <w:tabs>
          <w:tab w:leader="none" w:pos="2252"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On or prior to the First Placement Notice Date and on any date which the Company is obligated to deliver a certificate pursuant to </w:t>
      </w:r>
      <w:r>
        <w:rPr>
          <w:rFonts w:ascii="Arial" w:cs="Arial" w:eastAsia="Arial" w:hAnsi="Arial"/>
          <w:sz w:val="17"/>
          <w:szCs w:val="17"/>
          <w:u w:val="single" w:color="auto"/>
          <w:color w:val="auto"/>
        </w:rPr>
        <w:t>Section 7(m)</w:t>
      </w:r>
      <w:r>
        <w:rPr>
          <w:rFonts w:ascii="Arial" w:cs="Arial" w:eastAsia="Arial" w:hAnsi="Arial"/>
          <w:sz w:val="17"/>
          <w:szCs w:val="17"/>
          <w:color w:val="auto"/>
        </w:rPr>
        <w:t xml:space="preserve">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Letters</w:t>
      </w:r>
      <w:r>
        <w:rPr>
          <w:rFonts w:ascii="Arial" w:cs="Arial" w:eastAsia="Arial" w:hAnsi="Arial"/>
          <w:sz w:val="17"/>
          <w:szCs w:val="17"/>
          <w:color w:val="auto"/>
        </w:rPr>
        <w:t>”), dated the date the Comfort Letter is delivered, which shall meet the requirements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7(p)</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if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reasonably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b w:val="1"/>
          <w:bCs w:val="1"/>
          <w:u w:val="single" w:color="auto"/>
          <w:color w:val="auto"/>
        </w:rPr>
        <w:t>Initial Comfort Letter</w:t>
      </w:r>
      <w:r>
        <w:rPr>
          <w:rFonts w:ascii="Arial" w:cs="Arial" w:eastAsia="Arial" w:hAnsi="Arial"/>
          <w:sz w:val="17"/>
          <w:szCs w:val="17"/>
          <w:color w:val="auto"/>
        </w:rPr>
        <w:t>”) and (iii)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6" w:lineRule="exact"/>
        <w:rPr>
          <w:rFonts w:ascii="Arial" w:cs="Arial" w:eastAsia="Arial" w:hAnsi="Arial"/>
          <w:sz w:val="17"/>
          <w:szCs w:val="17"/>
          <w:color w:val="auto"/>
        </w:rPr>
      </w:pPr>
    </w:p>
    <w:p>
      <w:pPr>
        <w:ind w:left="2280" w:hanging="976"/>
        <w:spacing w:after="0"/>
        <w:tabs>
          <w:tab w:leader="none" w:pos="228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directly or indirectly, and will cause its officers, directors and Subsidiaries not to</w:t>
      </w:r>
    </w:p>
    <w:p>
      <w:pPr>
        <w:spacing w:after="0" w:line="46" w:lineRule="exact"/>
        <w:rPr>
          <w:rFonts w:ascii="Arial" w:cs="Arial" w:eastAsia="Arial" w:hAnsi="Arial"/>
          <w:sz w:val="16"/>
          <w:szCs w:val="16"/>
          <w:color w:val="auto"/>
        </w:rPr>
      </w:pPr>
    </w:p>
    <w:p>
      <w:pPr>
        <w:jc w:val="both"/>
        <w:ind w:firstLine="8"/>
        <w:spacing w:after="0" w:line="253" w:lineRule="auto"/>
        <w:tabs>
          <w:tab w:leader="none" w:pos="2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take any action designed to cause or result in, or that constitutes or might reasonably be expected to constitute, the stabilization or manipulation of the price of any security of the Company to facilitate the sale or resale of Shares or (ii) sell, bid for, or purchase Shares in violation of Regulation M, or pay anyone any compensation for soliciting purchases of the Placement Shares other than the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bid for and purchase Shares in accordance with Rule 10b-18 under the Exchange Act.</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2308"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26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Securities Act and Exchange Act</w:t>
      </w:r>
      <w:r>
        <w:rPr>
          <w:rFonts w:ascii="Arial" w:cs="Arial" w:eastAsia="Arial" w:hAnsi="Arial"/>
          <w:sz w:val="18"/>
          <w:szCs w:val="18"/>
          <w:color w:val="auto"/>
        </w:rPr>
        <w:t>. The Company will use its best efforts to comply with all applicable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24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No Offer to Sell</w:t>
      </w:r>
      <w:r>
        <w:rPr>
          <w:rFonts w:ascii="Arial" w:cs="Arial" w:eastAsia="Arial" w:hAnsi="Arial"/>
          <w:sz w:val="18"/>
          <w:szCs w:val="18"/>
          <w:color w:val="auto"/>
        </w:rPr>
        <w:t>. Other than a free writing prospectus (as defined in Rule 405) approved in advance by the Company and the Agent, neither the Agent nor the Company (including its agents and representatives, other than the Agent in its capacity as agent) will make, use, prepare, authorize, approve or refer to any written communication (as defined in Rule 405), required to be filed with the Commission, that constitutes an offer to sell or solicitation of an offer to buy Shares hereunder.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ind w:firstLine="1304"/>
        <w:spacing w:after="0" w:line="289" w:lineRule="auto"/>
        <w:tabs>
          <w:tab w:leader="none" w:pos="245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Blue Sky and Other Qualifications</w:t>
      </w:r>
      <w:r>
        <w:rPr>
          <w:rFonts w:ascii="Arial" w:cs="Arial" w:eastAsia="Arial" w:hAnsi="Arial"/>
          <w:sz w:val="16"/>
          <w:szCs w:val="16"/>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66" w:lineRule="exact"/>
        <w:rPr>
          <w:rFonts w:ascii="Arial" w:cs="Arial" w:eastAsia="Arial" w:hAnsi="Arial"/>
          <w:sz w:val="16"/>
          <w:szCs w:val="16"/>
          <w:color w:val="auto"/>
        </w:rPr>
      </w:pPr>
    </w:p>
    <w:p>
      <w:pPr>
        <w:jc w:val="both"/>
        <w:ind w:firstLine="1304"/>
        <w:spacing w:after="0" w:line="286" w:lineRule="auto"/>
        <w:tabs>
          <w:tab w:leader="none" w:pos="240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Sarbanes-Oxley Act</w:t>
      </w:r>
      <w:r>
        <w:rPr>
          <w:rFonts w:ascii="Arial" w:cs="Arial" w:eastAsia="Arial" w:hAnsi="Arial"/>
          <w:sz w:val="16"/>
          <w:szCs w:val="16"/>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to the extent applicable to the Company,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167" w:lineRule="exact"/>
        <w:rPr>
          <w:rFonts w:ascii="Arial" w:cs="Arial" w:eastAsia="Arial" w:hAnsi="Arial"/>
          <w:sz w:val="16"/>
          <w:szCs w:val="16"/>
          <w:color w:val="auto"/>
        </w:rPr>
      </w:pPr>
    </w:p>
    <w:p>
      <w:pPr>
        <w:ind w:left="2180" w:hanging="876"/>
        <w:spacing w:after="0"/>
        <w:tabs>
          <w:tab w:leader="none" w:pos="21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9" w:lineRule="auto"/>
        <w:tabs>
          <w:tab w:leader="none" w:pos="260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Renewal of Registration Statement. I</w:t>
      </w:r>
      <w:r>
        <w:rPr>
          <w:rFonts w:ascii="Arial" w:cs="Arial" w:eastAsia="Arial" w:hAnsi="Arial"/>
          <w:sz w:val="16"/>
          <w:szCs w:val="16"/>
          <w:color w:val="auto"/>
        </w:rPr>
        <w:t>f, immediately prior to the third anniversary of the initial effective date of the Registration Statement (the “</w:t>
      </w:r>
      <w:r>
        <w:rPr>
          <w:rFonts w:ascii="Arial" w:cs="Arial" w:eastAsia="Arial" w:hAnsi="Arial"/>
          <w:sz w:val="16"/>
          <w:szCs w:val="16"/>
          <w:b w:val="1"/>
          <w:bCs w:val="1"/>
          <w:u w:val="single" w:color="auto"/>
          <w:color w:val="auto"/>
        </w:rPr>
        <w:t>Renewal Date</w:t>
      </w:r>
      <w:r>
        <w:rPr>
          <w:rFonts w:ascii="Arial" w:cs="Arial" w:eastAsia="Arial" w:hAnsi="Arial"/>
          <w:sz w:val="16"/>
          <w:szCs w:val="16"/>
          <w:color w:val="auto"/>
        </w:rPr>
        <w:t>”), any of the Placement Shares remain unsold and this Agreement has not been terminated, the Company will, prior to the Renewal Date, file a new shelf registration statement or, if applicable, an automatic shelf registration statement relating to the Shares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firstLine="1304"/>
        <w:spacing w:after="0" w:line="253" w:lineRule="auto"/>
        <w:tabs>
          <w:tab w:leader="none" w:pos="2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General Instruction I.B.6. of Form S-3</w:t>
      </w:r>
      <w:r>
        <w:rPr>
          <w:rFonts w:ascii="Arial" w:cs="Arial" w:eastAsia="Arial" w:hAnsi="Arial"/>
          <w:sz w:val="18"/>
          <w:szCs w:val="18"/>
          <w:color w:val="auto"/>
        </w:rPr>
        <w:t xml:space="preserve">. If, from and after the date of this Agreement, the Company is no longer eligible to use Form S-3 (pursuant to General Instruction I.B.1.)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available to be offered and sold by the Company under this Agreement pursuant to General Instruction I.B.6. of Form S-3;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delay the filing of any such prospectus supplement for up to 30 days if, in the reasonable judgment of the Company, it is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96" w:lineRule="exact"/>
        <w:rPr>
          <w:rFonts w:ascii="Arial" w:cs="Arial" w:eastAsia="Arial" w:hAnsi="Arial"/>
          <w:sz w:val="18"/>
          <w:szCs w:val="18"/>
          <w:color w:val="auto"/>
        </w:rPr>
      </w:pPr>
    </w:p>
    <w:p>
      <w:pPr>
        <w:ind w:firstLine="1304"/>
        <w:spacing w:after="0" w:line="277" w:lineRule="auto"/>
        <w:tabs>
          <w:tab w:leader="none" w:pos="228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Tax Indemnity</w:t>
      </w:r>
      <w:r>
        <w:rPr>
          <w:rFonts w:ascii="Arial" w:cs="Arial" w:eastAsia="Arial" w:hAnsi="Arial"/>
          <w:sz w:val="18"/>
          <w:szCs w:val="18"/>
          <w:color w:val="auto"/>
        </w:rPr>
        <w:t>. The Company will indemnify and hold harmless the Agent against any documentary, stamp or similar issue tax, including any interest and penalties, on the issue and sale of the Placement Shares.</w:t>
      </w:r>
    </w:p>
    <w:p>
      <w:pPr>
        <w:spacing w:after="0" w:line="170" w:lineRule="exact"/>
        <w:rPr>
          <w:sz w:val="20"/>
          <w:szCs w:val="20"/>
          <w:color w:val="auto"/>
        </w:rPr>
      </w:pPr>
    </w:p>
    <w:p>
      <w:pPr>
        <w:ind w:left="2160" w:hanging="856"/>
        <w:spacing w:after="0"/>
        <w:tabs>
          <w:tab w:leader="none" w:pos="216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Transfer Agent</w:t>
      </w:r>
      <w:r>
        <w:rPr>
          <w:rFonts w:ascii="Arial" w:cs="Arial" w:eastAsia="Arial" w:hAnsi="Arial"/>
          <w:sz w:val="16"/>
          <w:szCs w:val="16"/>
          <w:color w:val="auto"/>
        </w:rPr>
        <w:t>. The Company has engaged and will maintain, at its sole expense, a transfer agent and registrar for the Shares.</w:t>
      </w:r>
    </w:p>
    <w:p>
      <w:pPr>
        <w:spacing w:after="0" w:line="248" w:lineRule="exact"/>
        <w:rPr>
          <w:rFonts w:ascii="Arial" w:cs="Arial" w:eastAsia="Arial" w:hAnsi="Arial"/>
          <w:sz w:val="16"/>
          <w:szCs w:val="16"/>
          <w:color w:val="auto"/>
        </w:rPr>
      </w:pPr>
    </w:p>
    <w:p>
      <w:pPr>
        <w:jc w:val="both"/>
        <w:ind w:firstLine="656"/>
        <w:spacing w:after="0" w:line="301" w:lineRule="auto"/>
        <w:tabs>
          <w:tab w:leader="none" w:pos="181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Conditions to the Agent’s Obligations</w:t>
      </w:r>
      <w:r>
        <w:rPr>
          <w:rFonts w:ascii="Arial" w:cs="Arial" w:eastAsia="Arial" w:hAnsi="Arial"/>
          <w:sz w:val="16"/>
          <w:szCs w:val="16"/>
          <w:color w:val="auto"/>
        </w:rPr>
        <w:t>. The obligations of the Agent hereunder with respect to a Placement will be subject to the continuing accuracy and completeness of the representations and warranties made by the Company herein, to the due performance in all material respects by the Company of its obligations hereunder, to the completion by the Agent of a due diligence review satisfactory to the Agent in its reasonable judgment, and to the continuing satisfaction (or waiver by the Agent in its sole discretion) in all material respects of the following additional conditions:</w:t>
      </w:r>
    </w:p>
    <w:p>
      <w:pPr>
        <w:spacing w:after="0" w:line="157" w:lineRule="exact"/>
        <w:rPr>
          <w:rFonts w:ascii="Arial" w:cs="Arial" w:eastAsia="Arial" w:hAnsi="Arial"/>
          <w:sz w:val="16"/>
          <w:szCs w:val="16"/>
          <w:color w:val="auto"/>
        </w:rPr>
      </w:pPr>
    </w:p>
    <w:p>
      <w:pPr>
        <w:ind w:firstLine="1304"/>
        <w:spacing w:after="0" w:line="342" w:lineRule="auto"/>
        <w:tabs>
          <w:tab w:leader="none" w:pos="2256"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Registration Statement Effective</w:t>
      </w:r>
      <w:r>
        <w:rPr>
          <w:rFonts w:ascii="Arial" w:cs="Arial" w:eastAsia="Arial" w:hAnsi="Arial"/>
          <w:sz w:val="16"/>
          <w:szCs w:val="16"/>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23" w:lineRule="exact"/>
        <w:rPr>
          <w:rFonts w:ascii="Arial" w:cs="Arial" w:eastAsia="Arial" w:hAnsi="Arial"/>
          <w:sz w:val="16"/>
          <w:szCs w:val="16"/>
          <w:color w:val="auto"/>
        </w:rPr>
      </w:pPr>
    </w:p>
    <w:p>
      <w:pPr>
        <w:ind w:firstLine="1304"/>
        <w:spacing w:after="0" w:line="342" w:lineRule="auto"/>
        <w:tabs>
          <w:tab w:leader="none" w:pos="2347"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Prospectus Supplement</w:t>
      </w:r>
      <w:r>
        <w:rPr>
          <w:rFonts w:ascii="Arial" w:cs="Arial" w:eastAsia="Arial" w:hAnsi="Arial"/>
          <w:sz w:val="16"/>
          <w:szCs w:val="16"/>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23" w:lineRule="exact"/>
        <w:rPr>
          <w:rFonts w:ascii="Arial" w:cs="Arial" w:eastAsia="Arial" w:hAnsi="Arial"/>
          <w:sz w:val="16"/>
          <w:szCs w:val="16"/>
          <w:color w:val="auto"/>
        </w:rPr>
      </w:pPr>
    </w:p>
    <w:p>
      <w:pPr>
        <w:jc w:val="both"/>
        <w:ind w:firstLine="1304"/>
        <w:spacing w:after="0" w:line="287" w:lineRule="auto"/>
        <w:tabs>
          <w:tab w:leader="none" w:pos="2229"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material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ind w:firstLine="1304"/>
        <w:spacing w:after="0" w:line="259" w:lineRule="auto"/>
        <w:tabs>
          <w:tab w:leader="none" w:pos="23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6" w:lineRule="exact"/>
        <w:rPr>
          <w:rFonts w:ascii="Arial" w:cs="Arial" w:eastAsia="Arial" w:hAnsi="Arial"/>
          <w:sz w:val="18"/>
          <w:szCs w:val="18"/>
          <w:color w:val="auto"/>
        </w:rPr>
      </w:pPr>
    </w:p>
    <w:p>
      <w:pPr>
        <w:jc w:val="both"/>
        <w:ind w:firstLine="1304"/>
        <w:spacing w:after="0" w:line="291" w:lineRule="auto"/>
        <w:tabs>
          <w:tab w:leader="none" w:pos="2634"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Except as contemplated in the Prospectus, or disclosed in the Company’s reports filed with the Commission, there shall not have been any material adverse change, on a consolidated basis, in the authorized capital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66" w:lineRule="exact"/>
        <w:rPr>
          <w:rFonts w:ascii="Arial" w:cs="Arial" w:eastAsia="Arial" w:hAnsi="Arial"/>
          <w:sz w:val="16"/>
          <w:szCs w:val="16"/>
          <w:color w:val="auto"/>
        </w:rPr>
      </w:pPr>
    </w:p>
    <w:p>
      <w:pPr>
        <w:jc w:val="both"/>
        <w:ind w:firstLine="1304"/>
        <w:spacing w:after="0" w:line="311" w:lineRule="auto"/>
        <w:tabs>
          <w:tab w:leader="none" w:pos="2254"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Company Counsel Legal Opinions</w:t>
      </w:r>
      <w:r>
        <w:rPr>
          <w:rFonts w:ascii="Arial" w:cs="Arial" w:eastAsia="Arial" w:hAnsi="Arial"/>
          <w:sz w:val="16"/>
          <w:szCs w:val="16"/>
          <w:color w:val="auto"/>
        </w:rPr>
        <w:t xml:space="preserve">. The Agent shall have received the opinions and negative assurance letters, as applicable, of Company Counsel and Intellectual Property Counsel required to be delivered pursuant to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7(o)</w:t>
      </w:r>
      <w:r>
        <w:rPr>
          <w:rFonts w:ascii="Arial" w:cs="Arial" w:eastAsia="Arial" w:hAnsi="Arial"/>
          <w:sz w:val="16"/>
          <w:szCs w:val="16"/>
          <w:color w:val="auto"/>
        </w:rPr>
        <w:t xml:space="preserve">, as applicable, on or before the date on which such delivery of such opinions and negative assurance letters are required pursuant to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7(o)</w:t>
      </w:r>
      <w:r>
        <w:rPr>
          <w:rFonts w:ascii="Arial" w:cs="Arial" w:eastAsia="Arial" w:hAnsi="Arial"/>
          <w:sz w:val="16"/>
          <w:szCs w:val="16"/>
          <w:color w:val="auto"/>
        </w:rPr>
        <w:t>, as applicable.</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240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Agent’s Counsel Legal Opinion</w:t>
      </w:r>
      <w:r>
        <w:rPr>
          <w:rFonts w:ascii="Arial" w:cs="Arial" w:eastAsia="Arial" w:hAnsi="Arial"/>
          <w:sz w:val="18"/>
          <w:szCs w:val="18"/>
          <w:color w:val="auto"/>
        </w:rPr>
        <w:t xml:space="preserve">. The Agent shall have received from Goodwin Procter LLP, counsel for the Agent, such opinion or opinions, on or before the date on which the delivery of the Company Counsel legal opinion is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with respect to such matters as the Agent may reasonably require, and the Company shall have furnished to such counsel such documents as they may request to enable them to pass upon such matters.</w:t>
      </w:r>
    </w:p>
    <w:p>
      <w:pPr>
        <w:spacing w:after="0" w:line="186" w:lineRule="exact"/>
        <w:rPr>
          <w:rFonts w:ascii="Arial" w:cs="Arial" w:eastAsia="Arial" w:hAnsi="Arial"/>
          <w:sz w:val="18"/>
          <w:szCs w:val="18"/>
          <w:color w:val="auto"/>
        </w:rPr>
      </w:pPr>
    </w:p>
    <w:p>
      <w:pPr>
        <w:ind w:firstLine="1304"/>
        <w:spacing w:after="0" w:line="277" w:lineRule="auto"/>
        <w:tabs>
          <w:tab w:leader="none" w:pos="234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The Agent shall have received the Comfort Letter required to be delivered pursuant to </w:t>
      </w:r>
      <w:r>
        <w:rPr>
          <w:rFonts w:ascii="Arial" w:cs="Arial" w:eastAsia="Arial" w:hAnsi="Arial"/>
          <w:sz w:val="18"/>
          <w:szCs w:val="18"/>
          <w:u w:val="single" w:color="auto"/>
          <w:color w:val="auto"/>
        </w:rPr>
        <w:t>Section 7(p)</w:t>
      </w:r>
      <w:r>
        <w:rPr>
          <w:rFonts w:ascii="Arial" w:cs="Arial" w:eastAsia="Arial" w:hAnsi="Arial"/>
          <w:sz w:val="18"/>
          <w:szCs w:val="18"/>
          <w:color w:val="auto"/>
        </w:rPr>
        <w:t xml:space="preserve"> on or before the date on which such delivery of such Comfort Letter is required pursuant to </w:t>
      </w:r>
      <w:r>
        <w:rPr>
          <w:rFonts w:ascii="Arial" w:cs="Arial" w:eastAsia="Arial" w:hAnsi="Arial"/>
          <w:sz w:val="18"/>
          <w:szCs w:val="18"/>
          <w:u w:val="single" w:color="auto"/>
          <w:color w:val="auto"/>
        </w:rPr>
        <w:t>Section 7(p)</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277" w:lineRule="auto"/>
        <w:tabs>
          <w:tab w:leader="none" w:pos="233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xml:space="preserve">. The Agent shall have received the certificate required to be delivered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4"/>
        <w:spacing w:after="0" w:line="273" w:lineRule="auto"/>
        <w:tabs>
          <w:tab w:leader="none" w:pos="2257"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xml:space="preserve">. On or prior to the First Placement Notice Date, the Agent shall have received a certificate, signed on behalf of the Company by its Secretary of the Company and attested to by an executive officer of the Company, dated as of such date and in form and substance satisfactory to the Agent and its counsel, certifying as to (i) the certificate of incorporation of the Company, (ii) the resolutions of the board of directors of the Company or duly authorized committee thereof authorizing the execution, delivery and performance of this Agreement and the issuance and sale of the Placement Shares and (iii) the incumbency of the officers of the Company duly authorized to execute this Agreement and the other documents contemplated by this Agreement (including each of the officers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firstLine="1304"/>
        <w:spacing w:after="0" w:line="277" w:lineRule="auto"/>
        <w:tabs>
          <w:tab w:leader="none" w:pos="225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The Shares are duly listed, and admitted and authorized for trading, subject to official notice of issuance, on Nasdaq. Trading in the Shares shall not have been suspended on, and the Shares shall not have been delisted from, Nasdaq.</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487"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Other Materials</w:t>
      </w:r>
      <w:r>
        <w:rPr>
          <w:rFonts w:ascii="Arial" w:cs="Arial" w:eastAsia="Arial" w:hAnsi="Arial"/>
          <w:sz w:val="18"/>
          <w:szCs w:val="18"/>
          <w:color w:val="auto"/>
        </w:rPr>
        <w:t xml:space="preserve">. On each date on which the Company is required to deliver a certificate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 the Agent with complied copies of such opinions, certificates, letters and other documents as the Agent may have reasonably requested.</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2253"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Securities Act Filings Made</w:t>
      </w:r>
      <w:r>
        <w:rPr>
          <w:rFonts w:ascii="Arial" w:cs="Arial" w:eastAsia="Arial" w:hAnsi="Arial"/>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266"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Approval for Listing</w:t>
      </w:r>
      <w:r>
        <w:rPr>
          <w:rFonts w:ascii="Arial" w:cs="Arial" w:eastAsia="Arial" w:hAnsi="Arial"/>
          <w:sz w:val="18"/>
          <w:szCs w:val="18"/>
          <w:color w:val="auto"/>
        </w:rPr>
        <w:t>. The Placement Shares shall either have been (i) approved for listing on Nasdaq, subject only to notice of issuance, or (ii) the Company shall have filed an application for listing of the Placement Shares on Nasdaq at, or prior to, the First Placement Notice Date and Nasdaq shall have reviewed such application and not provided any objections thereto.</w:t>
      </w:r>
    </w:p>
    <w:p>
      <w:pPr>
        <w:spacing w:after="0" w:line="183" w:lineRule="exact"/>
        <w:rPr>
          <w:rFonts w:ascii="Arial" w:cs="Arial" w:eastAsia="Arial" w:hAnsi="Arial"/>
          <w:sz w:val="18"/>
          <w:szCs w:val="18"/>
          <w:color w:val="auto"/>
        </w:rPr>
      </w:pPr>
    </w:p>
    <w:p>
      <w:pPr>
        <w:ind w:right="20" w:firstLine="1304"/>
        <w:spacing w:after="0" w:line="277" w:lineRule="auto"/>
        <w:tabs>
          <w:tab w:leader="none" w:pos="259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FINRA shall have raised no objection to the terms of the offering contemplated hereby and the amount of compensation allowable or payable to the Agent as described in the Prospectus.</w:t>
      </w:r>
    </w:p>
    <w:p>
      <w:pPr>
        <w:spacing w:after="0" w:line="170" w:lineRule="exact"/>
        <w:rPr>
          <w:rFonts w:ascii="Arial" w:cs="Arial" w:eastAsia="Arial" w:hAnsi="Arial"/>
          <w:sz w:val="18"/>
          <w:szCs w:val="18"/>
          <w:color w:val="auto"/>
        </w:rPr>
      </w:pPr>
    </w:p>
    <w:p>
      <w:pPr>
        <w:ind w:left="2360" w:hanging="1056"/>
        <w:spacing w:after="0"/>
        <w:tabs>
          <w:tab w:leader="none" w:pos="236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No Termination Event</w:t>
      </w:r>
      <w:r>
        <w:rPr>
          <w:rFonts w:ascii="Arial" w:cs="Arial" w:eastAsia="Arial" w:hAnsi="Arial"/>
          <w:sz w:val="16"/>
          <w:szCs w:val="16"/>
          <w:color w:val="auto"/>
        </w:rPr>
        <w:t>. There shall not have occurred any event that would permit the Agent to terminate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640" w:hanging="984"/>
        <w:spacing w:after="0"/>
        <w:tabs>
          <w:tab w:leader="none" w:pos="16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2229"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but not limited to, any and all investigative, legal and other expenses) reasonably incurred in connection with, and any and all amounts paid in settlement (in accordance with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any action, suit, investigation or proceeding between any of the indemnified parties and any indemnifying parties or between any indemnified party and any third party (including, without limitation,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Shares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 (z) any breach by any of the indemnifying parties of any of their respective representations, warranties or agreements contained in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both"/>
        <w:ind w:firstLine="1304"/>
        <w:spacing w:after="0" w:line="273" w:lineRule="auto"/>
        <w:tabs>
          <w:tab w:leader="none" w:pos="226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Agent Indemnification</w:t>
      </w:r>
      <w:r>
        <w:rPr>
          <w:rFonts w:ascii="Arial" w:cs="Arial" w:eastAsia="Arial" w:hAnsi="Arial"/>
          <w:sz w:val="17"/>
          <w:szCs w:val="17"/>
          <w:color w:val="auto"/>
        </w:rPr>
        <w:t>. The Agent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77" w:lineRule="exact"/>
        <w:rPr>
          <w:rFonts w:ascii="Arial" w:cs="Arial" w:eastAsia="Arial" w:hAnsi="Arial"/>
          <w:sz w:val="17"/>
          <w:szCs w:val="17"/>
          <w:color w:val="auto"/>
        </w:rPr>
      </w:pPr>
    </w:p>
    <w:p>
      <w:pPr>
        <w:jc w:val="both"/>
        <w:ind w:firstLine="1304"/>
        <w:spacing w:after="0" w:line="283" w:lineRule="auto"/>
        <w:tabs>
          <w:tab w:leader="none" w:pos="231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Any party that proposes to assert the right to be indemnified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(ii) any liability that it may have to any indemnified party under the foregoing provision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both"/>
        <w:ind w:firstLine="1304"/>
        <w:spacing w:after="0" w:line="273" w:lineRule="auto"/>
        <w:tabs>
          <w:tab w:leader="none" w:pos="230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Settlement Without Consent if Failure to Reimburse</w:t>
      </w:r>
      <w:r>
        <w:rPr>
          <w:rFonts w:ascii="Arial" w:cs="Arial" w:eastAsia="Arial" w:hAnsi="Arial"/>
          <w:sz w:val="17"/>
          <w:szCs w:val="17"/>
          <w:i w:val="1"/>
          <w:iCs w:val="1"/>
          <w:color w:val="auto"/>
        </w:rPr>
        <w:t>.</w:t>
      </w:r>
      <w:r>
        <w:rPr>
          <w:rFonts w:ascii="Arial" w:cs="Arial" w:eastAsia="Arial" w:hAnsi="Arial"/>
          <w:sz w:val="17"/>
          <w:szCs w:val="17"/>
          <w:color w:val="auto"/>
        </w:rPr>
        <w:t xml:space="preserve"> If an indemnified party shall have requested an indemnifying party to reimburse the indemnified party for reasonable fees and expenses of counsel for which it is entitled to be reimbursed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such indemnifying party agrees that it shall be liable for any settlement of the nature contemplated by </w:t>
      </w:r>
      <w:r>
        <w:rPr>
          <w:rFonts w:ascii="Arial" w:cs="Arial" w:eastAsia="Arial" w:hAnsi="Arial"/>
          <w:sz w:val="17"/>
          <w:szCs w:val="17"/>
          <w:u w:val="single" w:color="auto"/>
          <w:color w:val="auto"/>
        </w:rPr>
        <w:t>Section 9(a)</w:t>
      </w:r>
      <w:r>
        <w:rPr>
          <w:rFonts w:ascii="Arial" w:cs="Arial" w:eastAsia="Arial" w:hAnsi="Arial"/>
          <w:sz w:val="17"/>
          <w:szCs w:val="17"/>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77" w:lineRule="exact"/>
        <w:rPr>
          <w:rFonts w:ascii="Arial" w:cs="Arial" w:eastAsia="Arial" w:hAnsi="Arial"/>
          <w:sz w:val="17"/>
          <w:szCs w:val="17"/>
          <w:color w:val="auto"/>
        </w:rPr>
      </w:pPr>
    </w:p>
    <w:p>
      <w:pPr>
        <w:jc w:val="both"/>
        <w:ind w:firstLine="1304"/>
        <w:spacing w:after="0" w:line="283" w:lineRule="auto"/>
        <w:tabs>
          <w:tab w:leader="none" w:pos="225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In order to provide for just and equitable contribution in circumstances in which the indemnification provided for in the foregoing paragraphs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were to be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shall be deemed to include, for the purpose of this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any legal or other expenses reasonably incurred by such indemnified party in connection with investigating or defending any such action, suit, investigation, proceeding or claim to the extent consistent with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Notwithstanding the foregoing provisions of this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 or pursuant to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9(c)</w:t>
      </w:r>
      <w:r>
        <w:rPr>
          <w:rFonts w:ascii="Arial" w:cs="Arial" w:eastAsia="Arial" w:hAnsi="Arial"/>
          <w:sz w:val="16"/>
          <w:szCs w:val="16"/>
          <w:color w:val="auto"/>
        </w:rPr>
        <w:t xml:space="preserve"> hereof.</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ind w:firstLine="656"/>
        <w:spacing w:after="0" w:line="257" w:lineRule="auto"/>
        <w:tabs>
          <w:tab w:leader="none" w:pos="176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Representations and Agreements to Survive Delivery</w:t>
      </w:r>
      <w:r>
        <w:rPr>
          <w:rFonts w:ascii="Arial" w:cs="Arial" w:eastAsia="Arial" w:hAnsi="Arial"/>
          <w:sz w:val="18"/>
          <w:szCs w:val="18"/>
          <w:color w:val="auto"/>
        </w:rPr>
        <w:t xml:space="preserve">. The indemnity and contribution agreements contained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87" w:lineRule="exact"/>
        <w:rPr>
          <w:rFonts w:ascii="Arial" w:cs="Arial" w:eastAsia="Arial" w:hAnsi="Arial"/>
          <w:sz w:val="18"/>
          <w:szCs w:val="18"/>
          <w:color w:val="auto"/>
        </w:rPr>
      </w:pPr>
    </w:p>
    <w:p>
      <w:pPr>
        <w:ind w:left="1540" w:hanging="884"/>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2310"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The Agent shall have the right, by giving notice as hereinafter specified, at any time to terminate this Agreement if (i) any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in the case of any failure of the Company to deliver (or cause another person to deliver) any certification, opinion or letter required under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7(o)</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7(p)</w:t>
      </w:r>
      <w:r>
        <w:rPr>
          <w:rFonts w:ascii="Arial" w:cs="Arial" w:eastAsia="Arial" w:hAnsi="Arial"/>
          <w:sz w:val="16"/>
          <w:szCs w:val="16"/>
          <w:color w:val="auto"/>
        </w:rPr>
        <w:t xml:space="preserve">,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hereof shall remain in full force and effect notwithstanding such termination. If the Agent elects to terminate this Agreement as provided in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the Agent shall provide the required notice as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firstLine="1304"/>
        <w:spacing w:after="0" w:line="259" w:lineRule="auto"/>
        <w:tabs>
          <w:tab w:leader="none" w:pos="2239"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hereof shall remain in full force and effect notwithstanding such termination.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ind w:firstLine="1304"/>
        <w:spacing w:after="0" w:line="259" w:lineRule="auto"/>
        <w:tabs>
          <w:tab w:leader="none" w:pos="23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hereof shall remain in full force and effect notwithstanding such termination.</w:t>
      </w:r>
    </w:p>
    <w:p>
      <w:pPr>
        <w:spacing w:after="0" w:line="186" w:lineRule="exact"/>
        <w:rPr>
          <w:rFonts w:ascii="Arial" w:cs="Arial" w:eastAsia="Arial" w:hAnsi="Arial"/>
          <w:sz w:val="18"/>
          <w:szCs w:val="18"/>
          <w:color w:val="auto"/>
        </w:rPr>
      </w:pPr>
    </w:p>
    <w:p>
      <w:pPr>
        <w:jc w:val="both"/>
        <w:ind w:firstLine="1304"/>
        <w:spacing w:after="0" w:line="311" w:lineRule="auto"/>
        <w:tabs>
          <w:tab w:leader="none" w:pos="2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Unless earlier terminated pursuant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this Agreement shall automatically terminate upon the issuance and sale of all of the Placement Shares through the Agent on the terms and subject to the conditions set forth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hereof shall remain in full force and effect notwithstanding such termination.</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23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w:t>
      </w:r>
      <w:r>
        <w:rPr>
          <w:rFonts w:ascii="Arial" w:cs="Arial" w:eastAsia="Arial" w:hAnsi="Arial"/>
          <w:sz w:val="18"/>
          <w:szCs w:val="18"/>
          <w:u w:val="single" w:color="auto"/>
          <w:color w:val="auto"/>
        </w:rPr>
        <w:t>Sections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or otherwise by mutual agreement of the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such termination by mutual agreement shall in all cases be deemed to provide that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remain in full force and effect.</w:t>
      </w:r>
    </w:p>
    <w:p>
      <w:pPr>
        <w:spacing w:after="0" w:line="183" w:lineRule="exact"/>
        <w:rPr>
          <w:rFonts w:ascii="Arial" w:cs="Arial" w:eastAsia="Arial" w:hAnsi="Arial"/>
          <w:sz w:val="18"/>
          <w:szCs w:val="18"/>
          <w:color w:val="auto"/>
        </w:rPr>
      </w:pPr>
    </w:p>
    <w:p>
      <w:pPr>
        <w:jc w:val="both"/>
        <w:ind w:firstLine="1304"/>
        <w:spacing w:after="0" w:line="255" w:lineRule="auto"/>
        <w:tabs>
          <w:tab w:leader="none" w:pos="226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remain obligated to reimburse the Agent’s expenses pursuant to </w:t>
      </w:r>
      <w:r>
        <w:rPr>
          <w:rFonts w:ascii="Arial" w:cs="Arial" w:eastAsia="Arial" w:hAnsi="Arial"/>
          <w:sz w:val="18"/>
          <w:szCs w:val="18"/>
          <w:u w:val="single" w:color="auto"/>
          <w:color w:val="auto"/>
        </w:rPr>
        <w:t>Section 7(g)</w:t>
      </w:r>
      <w:r>
        <w:rPr>
          <w:rFonts w:ascii="Arial" w:cs="Arial" w:eastAsia="Arial" w:hAnsi="Arial"/>
          <w:sz w:val="18"/>
          <w:szCs w:val="18"/>
          <w:color w:val="auto"/>
        </w:rPr>
        <w:t>.</w:t>
      </w:r>
    </w:p>
    <w:p>
      <w:pPr>
        <w:spacing w:after="0" w:line="192" w:lineRule="exact"/>
        <w:rPr>
          <w:sz w:val="20"/>
          <w:szCs w:val="20"/>
          <w:color w:val="auto"/>
        </w:rPr>
      </w:pPr>
    </w:p>
    <w:p>
      <w:pPr>
        <w:ind w:firstLine="656"/>
        <w:spacing w:after="0" w:line="277" w:lineRule="auto"/>
        <w:tabs>
          <w:tab w:leader="none" w:pos="161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Stifel, Nicolaus &amp; Company, Incorporated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Equity Capital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New York Times Building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620 Eighth Avenue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Thomas S. Levato,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if to the Company, shall be delivered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10628 Science Center Dr.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Chief Executive Officer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Dentons US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4655 Executive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700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10178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Jeffrey A. Baumel, Esq.</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shall mean any day on which the Nasdaq and commercial banks in the City of New York are open for business.</w:t>
      </w:r>
    </w:p>
    <w:p>
      <w:pPr>
        <w:spacing w:after="0" w:line="1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b w:val="1"/>
          <w:bCs w:val="1"/>
          <w:u w:val="single" w:color="auto"/>
          <w:color w:val="auto"/>
        </w:rPr>
        <w:t>Electronic Notice</w:t>
      </w:r>
      <w:r>
        <w:rPr>
          <w:rFonts w:ascii="Arial" w:cs="Arial" w:eastAsia="Arial" w:hAnsi="Arial"/>
          <w:sz w:val="18"/>
          <w:szCs w:val="18"/>
          <w:color w:val="auto"/>
        </w:rPr>
        <w:t xml:space="preserve">”) shall be deemed written notice for purposes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if sent to the electronic mail address specified by the receiving party in </w:t>
      </w:r>
      <w:r>
        <w:rPr>
          <w:rFonts w:ascii="Arial" w:cs="Arial" w:eastAsia="Arial" w:hAnsi="Arial"/>
          <w:sz w:val="18"/>
          <w:szCs w:val="18"/>
          <w:u w:val="single" w:color="auto"/>
          <w:color w:val="auto"/>
        </w:rPr>
        <w:t>Section 12</w:t>
      </w:r>
      <w:r>
        <w:rPr>
          <w:rFonts w:ascii="Arial" w:cs="Arial" w:eastAsia="Arial" w:hAnsi="Arial"/>
          <w:sz w:val="18"/>
          <w:szCs w:val="18"/>
          <w:color w:val="auto"/>
        </w:rPr>
        <w:t>.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Arial" w:cs="Arial" w:eastAsia="Arial" w:hAnsi="Arial"/>
          <w:sz w:val="18"/>
          <w:szCs w:val="18"/>
          <w:b w:val="1"/>
          <w:bCs w:val="1"/>
          <w:u w:val="single" w:color="auto"/>
          <w:color w:val="auto"/>
        </w:rPr>
        <w:t>Nonelectronic Notice</w:t>
      </w:r>
      <w:r>
        <w:rPr>
          <w:rFonts w:ascii="Arial" w:cs="Arial" w:eastAsia="Arial" w:hAnsi="Arial"/>
          <w:sz w:val="18"/>
          <w:szCs w:val="18"/>
          <w:color w:val="auto"/>
        </w:rPr>
        <w:t>”), which shall be sent to the requesting party within 10 days of receipt of the written request for Nonelectronic Notice.</w:t>
      </w:r>
    </w:p>
    <w:p>
      <w:pPr>
        <w:spacing w:after="0" w:line="187" w:lineRule="exact"/>
        <w:rPr>
          <w:sz w:val="20"/>
          <w:szCs w:val="20"/>
          <w:color w:val="auto"/>
        </w:rPr>
      </w:pPr>
    </w:p>
    <w:p>
      <w:pPr>
        <w:jc w:val="both"/>
        <w:ind w:firstLine="656"/>
        <w:spacing w:after="0" w:line="254" w:lineRule="auto"/>
        <w:tabs>
          <w:tab w:leader="none" w:pos="173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inure to the benefit of and be binding upon the Company and the Agent and their respective successors and the affiliates, controlling persons, officers, directors and other persons referred to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Agent may assign its rights and obligations hereunder to an affiliate of the Agent without obtaining the Company’s consent, so long as such affiliate is a registered broker-dealer.</w:t>
      </w:r>
    </w:p>
    <w:p>
      <w:pPr>
        <w:spacing w:after="0" w:line="191" w:lineRule="exact"/>
        <w:rPr>
          <w:rFonts w:ascii="Arial" w:cs="Arial" w:eastAsia="Arial" w:hAnsi="Arial"/>
          <w:sz w:val="18"/>
          <w:szCs w:val="18"/>
          <w:color w:val="auto"/>
        </w:rPr>
      </w:pPr>
    </w:p>
    <w:p>
      <w:pPr>
        <w:ind w:firstLine="656"/>
        <w:spacing w:after="0" w:line="277" w:lineRule="auto"/>
        <w:tabs>
          <w:tab w:leader="none" w:pos="160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Adjustments for Share Splits</w:t>
      </w:r>
      <w:r>
        <w:rPr>
          <w:rFonts w:ascii="Arial" w:cs="Arial" w:eastAsia="Arial" w:hAnsi="Arial"/>
          <w:sz w:val="18"/>
          <w:szCs w:val="18"/>
          <w:color w:val="auto"/>
        </w:rPr>
        <w:t>. The parties acknowledge and agree that all share-related numbers contained in this Agreement shall be adjusted to take into account any share split, share dividend or similar event effected with respect to the Shares.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91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Severability; Waiver</w:t>
      </w:r>
      <w:r>
        <w:rPr>
          <w:rFonts w:ascii="Arial" w:cs="Arial" w:eastAsia="Arial" w:hAnsi="Arial"/>
          <w:sz w:val="16"/>
          <w:szCs w:val="16"/>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t>
      </w:r>
      <w:r>
        <w:rPr>
          <w:rFonts w:ascii="Arial" w:cs="Arial" w:eastAsia="Arial" w:hAnsi="Arial"/>
          <w:sz w:val="16"/>
          <w:szCs w:val="16"/>
          <w:b w:val="1"/>
          <w:bCs w:val="1"/>
          <w:u w:val="single" w:color="auto"/>
          <w:color w:val="auto"/>
        </w:rPr>
        <w:t>Schedule 2</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may be amended by either party from time to time by sending a notice containing a revised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2</w:t>
      </w:r>
      <w:r>
        <w:rPr>
          <w:rFonts w:ascii="Arial" w:cs="Arial" w:eastAsia="Arial" w:hAnsi="Arial"/>
          <w:sz w:val="16"/>
          <w:szCs w:val="16"/>
          <w:b w:val="1"/>
          <w:bCs w:val="1"/>
          <w:color w:val="auto"/>
        </w:rPr>
        <w:t xml:space="preserve"> </w:t>
      </w:r>
      <w:r>
        <w:rPr>
          <w:rFonts w:ascii="Arial" w:cs="Arial" w:eastAsia="Arial" w:hAnsi="Arial"/>
          <w:sz w:val="16"/>
          <w:szCs w:val="16"/>
          <w:color w:val="auto"/>
        </w:rPr>
        <w:t>to the other party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manner provided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upon such amendment, all references herein to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shall automatically be deemed to refer to such amended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In the event that any one or more of the provisions contained herein, or the application thereof in any circumstance, is held invalid, illegal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ind w:firstLine="656"/>
        <w:spacing w:after="0" w:line="257" w:lineRule="auto"/>
        <w:tabs>
          <w:tab w:leader="none" w:pos="1736"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jc w:val="both"/>
        <w:ind w:firstLine="656"/>
        <w:spacing w:after="0" w:line="271" w:lineRule="auto"/>
        <w:tabs>
          <w:tab w:leader="none" w:pos="154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xml:space="preserve">.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78" w:lineRule="exact"/>
        <w:rPr>
          <w:rFonts w:ascii="Arial" w:cs="Arial" w:eastAsia="Arial" w:hAnsi="Arial"/>
          <w:sz w:val="17"/>
          <w:szCs w:val="17"/>
          <w:color w:val="auto"/>
        </w:rPr>
      </w:pPr>
    </w:p>
    <w:p>
      <w:pPr>
        <w:ind w:left="1560" w:hanging="904"/>
        <w:spacing w:after="0"/>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20" w:hanging="916"/>
        <w:spacing w:after="0"/>
        <w:tabs>
          <w:tab w:leader="none" w:pos="2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section and exhibit headings herein are for convenience only and shall not affect the construction hereof.</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Words defined in the singular shall have a comparable meaning when used in the plural, and vice versa.</w:t>
      </w:r>
    </w:p>
    <w:p>
      <w:pPr>
        <w:spacing w:after="0" w:line="225" w:lineRule="exact"/>
        <w:rPr>
          <w:rFonts w:ascii="Arial" w:cs="Arial" w:eastAsia="Arial" w:hAnsi="Arial"/>
          <w:sz w:val="18"/>
          <w:szCs w:val="18"/>
          <w:color w:val="auto"/>
        </w:rPr>
      </w:pPr>
    </w:p>
    <w:p>
      <w:pPr>
        <w:ind w:firstLine="1304"/>
        <w:spacing w:after="0" w:line="277" w:lineRule="auto"/>
        <w:tabs>
          <w:tab w:leader="none" w:pos="23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2280" w:hanging="976"/>
        <w:spacing w:after="0"/>
        <w:tabs>
          <w:tab w:leader="none" w:pos="22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Wherever the word “include,” “includes” or “including” is used in this Agreement, it shall be deemed to be followed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words “without limitation.”</w:t>
      </w:r>
    </w:p>
    <w:p>
      <w:pPr>
        <w:spacing w:after="0" w:line="210" w:lineRule="exact"/>
        <w:rPr>
          <w:rFonts w:ascii="Arial" w:cs="Arial" w:eastAsia="Arial" w:hAnsi="Arial"/>
          <w:sz w:val="16"/>
          <w:szCs w:val="16"/>
          <w:color w:val="auto"/>
        </w:rPr>
      </w:pPr>
    </w:p>
    <w:p>
      <w:pPr>
        <w:ind w:left="2220" w:hanging="916"/>
        <w:spacing w:after="0"/>
        <w:tabs>
          <w:tab w:leader="none" w:pos="2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References herein to any gender shall include each other gender.</w:t>
      </w:r>
    </w:p>
    <w:p>
      <w:pPr>
        <w:spacing w:after="0" w:line="225" w:lineRule="exact"/>
        <w:rPr>
          <w:rFonts w:ascii="Arial" w:cs="Arial" w:eastAsia="Arial" w:hAnsi="Arial"/>
          <w:sz w:val="18"/>
          <w:szCs w:val="18"/>
          <w:color w:val="auto"/>
        </w:rPr>
      </w:pPr>
    </w:p>
    <w:p>
      <w:pPr>
        <w:jc w:val="both"/>
        <w:ind w:firstLine="1304"/>
        <w:spacing w:after="0" w:line="311" w:lineRule="auto"/>
        <w:tabs>
          <w:tab w:leader="none" w:pos="2335" w:val="left"/>
        </w:tabs>
        <w:numPr>
          <w:ilvl w:val="1"/>
          <w:numId w:val="48"/>
        </w:numPr>
        <w:rPr>
          <w:rFonts w:ascii="Arial" w:cs="Arial" w:eastAsia="Arial" w:hAnsi="Arial"/>
          <w:sz w:val="16"/>
          <w:szCs w:val="16"/>
          <w:color w:val="auto"/>
        </w:rPr>
      </w:pPr>
      <w:r>
        <w:rPr>
          <w:rFonts w:ascii="Arial" w:cs="Arial" w:eastAsia="Arial" w:hAnsi="Arial"/>
          <w:sz w:val="16"/>
          <w:szCs w:val="16"/>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48" w:lineRule="exact"/>
        <w:rPr>
          <w:rFonts w:ascii="Arial" w:cs="Arial" w:eastAsia="Arial" w:hAnsi="Arial"/>
          <w:sz w:val="16"/>
          <w:szCs w:val="16"/>
          <w:color w:val="auto"/>
        </w:rPr>
      </w:pPr>
    </w:p>
    <w:p>
      <w:pPr>
        <w:jc w:val="both"/>
        <w:ind w:firstLine="656"/>
        <w:spacing w:after="0" w:line="290" w:lineRule="auto"/>
        <w:tabs>
          <w:tab w:leader="none" w:pos="1574"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written consent of the Agent, which consent shall not be unreasonably withheld, conditioned or delayed, and the Agent represents, warrants and agrees that, unless it obtains the prior written consent of the Company,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Arial" w:cs="Arial" w:eastAsia="Arial" w:hAnsi="Arial"/>
          <w:sz w:val="16"/>
          <w:szCs w:val="16"/>
          <w:b w:val="1"/>
          <w:bCs w:val="1"/>
          <w:u w:val="single" w:color="auto"/>
          <w:color w:val="auto"/>
        </w:rPr>
        <w:t>Permitted Free Writing Prospectus</w:t>
      </w:r>
      <w:r>
        <w:rPr>
          <w:rFonts w:ascii="Arial" w:cs="Arial" w:eastAsia="Arial" w:hAnsi="Arial"/>
          <w:sz w:val="16"/>
          <w:szCs w:val="16"/>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65" w:lineRule="exact"/>
        <w:rPr>
          <w:rFonts w:ascii="Arial" w:cs="Arial" w:eastAsia="Arial" w:hAnsi="Arial"/>
          <w:sz w:val="16"/>
          <w:szCs w:val="16"/>
          <w:color w:val="auto"/>
        </w:rPr>
      </w:pPr>
    </w:p>
    <w:p>
      <w:pPr>
        <w:ind w:left="1560" w:hanging="904"/>
        <w:spacing w:after="0"/>
        <w:tabs>
          <w:tab w:leader="none" w:pos="15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rFonts w:ascii="Arial" w:cs="Arial" w:eastAsia="Arial" w:hAnsi="Arial"/>
          <w:sz w:val="18"/>
          <w:szCs w:val="18"/>
          <w:color w:val="auto"/>
        </w:rPr>
      </w:pPr>
    </w:p>
    <w:p>
      <w:pPr>
        <w:jc w:val="both"/>
        <w:ind w:firstLine="1304"/>
        <w:spacing w:after="0" w:line="296" w:lineRule="auto"/>
        <w:tabs>
          <w:tab w:leader="none" w:pos="2404"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Agent has been retained to act as sales agent in connection with the sale of the Shares, the Agent has acted at arms’ length and no fiduciary or advisory relationship between the Company or any of its respective affiliates, shareholders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61" w:lineRule="exact"/>
        <w:rPr>
          <w:rFonts w:ascii="Arial" w:cs="Arial" w:eastAsia="Arial" w:hAnsi="Arial"/>
          <w:sz w:val="16"/>
          <w:szCs w:val="16"/>
          <w:color w:val="auto"/>
        </w:rPr>
      </w:pPr>
    </w:p>
    <w:p>
      <w:pPr>
        <w:ind w:firstLine="1304"/>
        <w:spacing w:after="0" w:line="277" w:lineRule="auto"/>
        <w:tabs>
          <w:tab w:leader="none" w:pos="2239"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5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83" w:lineRule="exact"/>
        <w:rPr>
          <w:rFonts w:ascii="Arial" w:cs="Arial" w:eastAsia="Arial" w:hAnsi="Arial"/>
          <w:sz w:val="18"/>
          <w:szCs w:val="18"/>
          <w:color w:val="auto"/>
        </w:rPr>
      </w:pPr>
    </w:p>
    <w:p>
      <w:pPr>
        <w:jc w:val="both"/>
        <w:ind w:right="20" w:firstLine="1304"/>
        <w:spacing w:after="0" w:line="263" w:lineRule="auto"/>
        <w:tabs>
          <w:tab w:leader="none" w:pos="237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237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shareholders (or other equity holders), creditors or employees of the Company.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ind w:firstLine="656"/>
        <w:spacing w:after="0" w:line="263" w:lineRule="auto"/>
        <w:tabs>
          <w:tab w:leader="none" w:pos="168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76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Use of Information</w:t>
      </w:r>
      <w:r>
        <w:rPr>
          <w:rFonts w:ascii="Arial" w:cs="Arial" w:eastAsia="Arial" w:hAnsi="Arial"/>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unless expressly approved by the Company in writing.</w:t>
      </w:r>
    </w:p>
    <w:p>
      <w:pPr>
        <w:spacing w:after="0" w:line="179" w:lineRule="exact"/>
        <w:rPr>
          <w:rFonts w:ascii="Arial" w:cs="Arial" w:eastAsia="Arial" w:hAnsi="Arial"/>
          <w:sz w:val="18"/>
          <w:szCs w:val="18"/>
          <w:color w:val="auto"/>
        </w:rPr>
      </w:pPr>
    </w:p>
    <w:p>
      <w:pPr>
        <w:jc w:val="both"/>
        <w:ind w:firstLine="656"/>
        <w:spacing w:after="0" w:line="266" w:lineRule="auto"/>
        <w:tabs>
          <w:tab w:leader="none" w:pos="168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Agent’s Information; Knowledge of the Company</w:t>
      </w:r>
      <w:r>
        <w:rPr>
          <w:rFonts w:ascii="Arial" w:cs="Arial" w:eastAsia="Arial" w:hAnsi="Arial"/>
          <w:sz w:val="18"/>
          <w:szCs w:val="18"/>
          <w:color w:val="auto"/>
        </w:rPr>
        <w:t>. As used in this Agreement, “</w:t>
      </w:r>
      <w:r>
        <w:rPr>
          <w:rFonts w:ascii="Arial" w:cs="Arial" w:eastAsia="Arial" w:hAnsi="Arial"/>
          <w:sz w:val="18"/>
          <w:szCs w:val="18"/>
          <w:b w:val="1"/>
          <w:bCs w:val="1"/>
          <w:u w:val="single" w:color="auto"/>
          <w:color w:val="auto"/>
        </w:rPr>
        <w:t>Agent’s Information</w:t>
      </w:r>
      <w:r>
        <w:rPr>
          <w:rFonts w:ascii="Arial" w:cs="Arial" w:eastAsia="Arial" w:hAnsi="Arial"/>
          <w:sz w:val="18"/>
          <w:szCs w:val="18"/>
          <w:color w:val="auto"/>
        </w:rPr>
        <w:t>” means solely the following information in the Registration Statement and the Prospectus: the last sentence of the last paragrpah under the heading “Plan of Distribution” in the Prospectus Supplement.</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firstLine="648"/>
        <w:spacing w:after="0" w:line="277" w:lineRule="auto"/>
        <w:rPr>
          <w:sz w:val="20"/>
          <w:szCs w:val="20"/>
          <w:color w:val="auto"/>
        </w:rPr>
      </w:pPr>
      <w:r>
        <w:rPr>
          <w:rFonts w:ascii="Arial" w:cs="Arial" w:eastAsia="Arial" w:hAnsi="Arial"/>
          <w:sz w:val="18"/>
          <w:szCs w:val="18"/>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ACCEPTED AS OF THE DATE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FIRST-ABOVE 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STIFEL, NICOLAUS &amp; COMPANY, INCORPORATED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 Covatta</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Daniel J. Covatta</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amp;"/>
      <w:numFmt w:val="bullet"/>
      <w:start w:val="1"/>
    </w:lvl>
    <w:lvl w:ilvl="1">
      <w:lvlJc w:val="left"/>
      <w:lvlText w:val="%2."/>
      <w:numFmt w:val="decimal"/>
      <w:start w:val="1"/>
    </w:lvl>
  </w:abstractNum>
  <w:abstractNum w:abstractNumId="2">
    <w:nsid w:val="189A769B"/>
    <w:multiLevelType w:val="hybridMultilevel"/>
    <w:lvl w:ilvl="0">
      <w:lvlJc w:val="left"/>
      <w:lvlText w:val="%1"/>
      <w:numFmt w:val="lowerRoman"/>
      <w:start w:val="1"/>
    </w:lvl>
    <w:lvl w:ilvl="1">
      <w:lvlJc w:val="left"/>
      <w:lvlText w:val="%2."/>
      <w:numFmt w:val="decimal"/>
      <w:start w:val="2"/>
    </w:lvl>
  </w:abstractNum>
  <w:abstractNum w:abstractNumId="3">
    <w:nsid w:val="54E49EB4"/>
    <w:multiLevelType w:val="hybridMultilevel"/>
    <w:lvl w:ilvl="0">
      <w:lvlJc w:val="left"/>
      <w:lvlText w:val="(%1)"/>
      <w:numFmt w:val="lowerRoman"/>
      <w:start w:val="1"/>
    </w:lvl>
    <w:lvl w:ilvl="1">
      <w:lvlJc w:val="left"/>
      <w:lvlText w:val="%2"/>
      <w:numFmt w:val="decimal"/>
      <w:start w:val="1"/>
    </w:lvl>
  </w:abstractNum>
  <w:abstractNum w:abstractNumId="4">
    <w:nsid w:val="71F32454"/>
    <w:multiLevelType w:val="hybridMultilevel"/>
    <w:lvl w:ilvl="0">
      <w:lvlJc w:val="left"/>
      <w:lvlText w:val="%1."/>
      <w:numFmt w:val="decimal"/>
      <w:start w:val="3"/>
    </w:lvl>
    <w:lvl w:ilvl="1">
      <w:lvlJc w:val="left"/>
      <w:lvlText w:val="(%2)"/>
      <w:numFmt w:val="lowerLetter"/>
      <w:start w:val="1"/>
    </w:lvl>
  </w:abstractNum>
  <w:abstractNum w:abstractNumId="5">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
    <w:nsid w:val="836C40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7">
    <w:nsid w:val="2901D8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8">
    <w:nsid w:val="3A95F874"/>
    <w:multiLevelType w:val="hybridMultilevel"/>
    <w:lvl w:ilvl="0">
      <w:lvlJc w:val="left"/>
      <w:lvlText w:val="%1"/>
      <w:numFmt w:val="decimal"/>
      <w:start w:val="1"/>
    </w:lvl>
    <w:lvl w:ilvl="1">
      <w:lvlJc w:val="left"/>
      <w:lvlText w:val="(%2)"/>
      <w:numFmt w:val="lowerLetter"/>
      <w:start w:val="3"/>
    </w:lvl>
  </w:abstractNum>
  <w:abstractNum w:abstractNumId="9">
    <w:nsid w:val="8138641"/>
    <w:multiLevelType w:val="hybridMultilevel"/>
    <w:lvl w:ilvl="0">
      <w:lvlJc w:val="left"/>
      <w:lvlText w:val="%1."/>
      <w:numFmt w:val="decimal"/>
      <w:start w:val="6"/>
    </w:lvl>
    <w:lvl w:ilvl="1">
      <w:lvlJc w:val="left"/>
      <w:lvlText w:val="(%2)"/>
      <w:numFmt w:val="lowerLetter"/>
      <w:start w:val="1"/>
    </w:lvl>
  </w:abstractNum>
  <w:abstractNum w:abstractNumId="10">
    <w:nsid w:val="1E7FF521"/>
    <w:multiLevelType w:val="hybridMultilevel"/>
    <w:lvl w:ilvl="0">
      <w:lvlJc w:val="left"/>
      <w:lvlText w:val="(%1)"/>
      <w:numFmt w:val="lowerLetter"/>
      <w:start w:val="2"/>
    </w:lvl>
  </w:abstractNum>
  <w:abstractNum w:abstractNumId="11">
    <w:nsid w:val="7C3DBD3D"/>
    <w:multiLevelType w:val="hybridMultilevel"/>
    <w:lvl w:ilvl="0">
      <w:lvlJc w:val="left"/>
      <w:lvlText w:val="(%1)"/>
      <w:numFmt w:val="lowerLetter"/>
      <w:start w:val="6"/>
    </w:lvl>
  </w:abstractNum>
  <w:abstractNum w:abstractNumId="12">
    <w:nsid w:val="737B8DDC"/>
    <w:multiLevelType w:val="hybridMultilevel"/>
    <w:lvl w:ilvl="0">
      <w:lvlJc w:val="left"/>
      <w:lvlText w:val="(%1)"/>
      <w:numFmt w:val="lowerLetter"/>
      <w:start w:val="12"/>
    </w:lvl>
  </w:abstractNum>
  <w:abstractNum w:abstractNumId="13">
    <w:nsid w:val="6CEAF087"/>
    <w:multiLevelType w:val="hybridMultilevel"/>
    <w:lvl w:ilvl="0">
      <w:lvlJc w:val="left"/>
      <w:lvlText w:val="(%1)"/>
      <w:numFmt w:val="lowerLetter"/>
      <w:start w:val="18"/>
    </w:lvl>
  </w:abstractNum>
  <w:abstractNum w:abstractNumId="14">
    <w:nsid w:val="22221A70"/>
    <w:multiLevelType w:val="hybridMultilevel"/>
    <w:lvl w:ilvl="0">
      <w:lvlJc w:val="left"/>
      <w:lvlText w:val="%1"/>
      <w:numFmt w:val="lowerLetter"/>
      <w:start w:val="1"/>
    </w:lvl>
    <w:lvl w:ilvl="1">
      <w:lvlJc w:val="left"/>
      <w:lvlText w:val="(%2)"/>
      <w:numFmt w:val="lowerLetter"/>
      <w:start w:val="21"/>
    </w:lvl>
  </w:abstractNum>
  <w:abstractNum w:abstractNumId="15">
    <w:nsid w:val="4516DDE9"/>
    <w:multiLevelType w:val="hybridMultilevel"/>
    <w:lvl w:ilvl="0">
      <w:lvlJc w:val="left"/>
      <w:lvlText w:val="(%1)"/>
      <w:numFmt w:val="lowerLetter"/>
      <w:start w:val="61"/>
    </w:lvl>
    <w:lvl w:ilvl="1">
      <w:lvlJc w:val="left"/>
      <w:lvlText w:val="(%2)"/>
      <w:numFmt w:val="lowerLetter"/>
      <w:start w:val="25"/>
    </w:lvl>
  </w:abstractNum>
  <w:abstractNum w:abstractNumId="16">
    <w:nsid w:val="3006C83E"/>
    <w:multiLevelType w:val="hybridMultilevel"/>
    <w:lvl w:ilvl="0">
      <w:lvlJc w:val="left"/>
      <w:lvlText w:val="(%1)"/>
      <w:numFmt w:val="lowerLetter"/>
      <w:start w:val="27"/>
    </w:lvl>
  </w:abstractNum>
  <w:abstractNum w:abstractNumId="17">
    <w:nsid w:val="614FD4A1"/>
    <w:multiLevelType w:val="hybridMultilevel"/>
    <w:lvl w:ilvl="0">
      <w:lvlJc w:val="left"/>
      <w:lvlText w:val="(%1)"/>
      <w:numFmt w:val="lowerLetter"/>
      <w:start w:val="32"/>
    </w:lvl>
  </w:abstractNum>
  <w:abstractNum w:abstractNumId="18">
    <w:nsid w:val="419AC241"/>
    <w:multiLevelType w:val="hybridMultilevel"/>
    <w:lvl w:ilvl="0">
      <w:lvlJc w:val="left"/>
      <w:lvlText w:val="(%1)"/>
      <w:numFmt w:val="lowerLetter"/>
      <w:start w:val="36"/>
    </w:lvl>
  </w:abstractNum>
  <w:abstractNum w:abstractNumId="19">
    <w:nsid w:val="5577F8E1"/>
    <w:multiLevelType w:val="hybridMultilevel"/>
    <w:lvl w:ilvl="0">
      <w:lvlJc w:val="left"/>
      <w:lvlText w:val="(%1)"/>
      <w:numFmt w:val="lowerLetter"/>
      <w:start w:val="42"/>
    </w:lvl>
  </w:abstractNum>
  <w:abstractNum w:abstractNumId="20">
    <w:nsid w:val="440BADFC"/>
    <w:multiLevelType w:val="hybridMultilevel"/>
    <w:lvl w:ilvl="0">
      <w:lvlJc w:val="left"/>
      <w:lvlText w:val="(%1)"/>
      <w:numFmt w:val="lowerLetter"/>
      <w:start w:val="43"/>
    </w:lvl>
  </w:abstractNum>
  <w:abstractNum w:abstractNumId="21">
    <w:nsid w:val="5072367"/>
    <w:multiLevelType w:val="hybridMultilevel"/>
    <w:lvl w:ilvl="0">
      <w:lvlJc w:val="left"/>
      <w:lvlText w:val="(%1)"/>
      <w:numFmt w:val="lowerLetter"/>
      <w:start w:val="45"/>
    </w:lvl>
  </w:abstractNum>
  <w:abstractNum w:abstractNumId="22">
    <w:nsid w:val="3804823E"/>
    <w:multiLevelType w:val="hybridMultilevel"/>
    <w:lvl w:ilvl="0">
      <w:lvlJc w:val="left"/>
      <w:lvlText w:val="%1"/>
      <w:numFmt w:val="lowerLetter"/>
      <w:start w:val="1"/>
    </w:lvl>
    <w:lvl w:ilvl="1">
      <w:lvlJc w:val="left"/>
      <w:lvlText w:val="(%2)"/>
      <w:numFmt w:val="lowerLetter"/>
      <w:start w:val="51"/>
    </w:lvl>
  </w:abstractNum>
  <w:abstractNum w:abstractNumId="23">
    <w:nsid w:val="77465F01"/>
    <w:multiLevelType w:val="hybridMultilevel"/>
    <w:lvl w:ilvl="0">
      <w:lvlJc w:val="left"/>
      <w:lvlText w:val="(%1)"/>
      <w:numFmt w:val="lowerLetter"/>
      <w:start w:val="35"/>
    </w:lvl>
    <w:lvl w:ilvl="1">
      <w:lvlJc w:val="left"/>
      <w:lvlText w:val="(%2)"/>
      <w:numFmt w:val="lowerLetter"/>
      <w:start w:val="52"/>
    </w:lvl>
  </w:abstractNum>
  <w:abstractNum w:abstractNumId="24">
    <w:nsid w:val="7724C67E"/>
    <w:multiLevelType w:val="hybridMultilevel"/>
    <w:lvl w:ilvl="0">
      <w:lvlJc w:val="left"/>
      <w:lvlText w:val="(%1)"/>
      <w:numFmt w:val="lowerLetter"/>
      <w:start w:val="53"/>
    </w:lvl>
  </w:abstractNum>
  <w:abstractNum w:abstractNumId="25">
    <w:nsid w:val="5C482A97"/>
    <w:multiLevelType w:val="hybridMultilevel"/>
    <w:lvl w:ilvl="0">
      <w:lvlJc w:val="left"/>
      <w:lvlText w:val="%1."/>
      <w:numFmt w:val="decimal"/>
      <w:start w:val="7"/>
    </w:lvl>
    <w:lvl w:ilvl="1">
      <w:lvlJc w:val="left"/>
      <w:lvlText w:val="(%2)"/>
      <w:numFmt w:val="lowerLetter"/>
      <w:start w:val="1"/>
    </w:lvl>
  </w:abstractNum>
  <w:abstractNum w:abstractNumId="26">
    <w:nsid w:val="2463B9EA"/>
    <w:multiLevelType w:val="hybridMultilevel"/>
    <w:lvl w:ilvl="0">
      <w:lvlJc w:val="left"/>
      <w:lvlText w:val="(%1)"/>
      <w:numFmt w:val="lowerLetter"/>
      <w:start w:val="2"/>
    </w:lvl>
  </w:abstractNum>
  <w:abstractNum w:abstractNumId="27">
    <w:nsid w:val="5E884ADC"/>
    <w:multiLevelType w:val="hybridMultilevel"/>
    <w:lvl w:ilvl="0">
      <w:lvlJc w:val="left"/>
      <w:lvlText w:val="(%1)"/>
      <w:numFmt w:val="lowerLetter"/>
      <w:start w:val="5"/>
    </w:lvl>
  </w:abstractNum>
  <w:abstractNum w:abstractNumId="28">
    <w:nsid w:val="51EAD36B"/>
    <w:multiLevelType w:val="hybridMultilevel"/>
    <w:lvl w:ilvl="0">
      <w:lvlJc w:val="left"/>
      <w:lvlText w:val="(%1)"/>
      <w:numFmt w:val="lowerLetter"/>
      <w:start w:val="10"/>
    </w:lvl>
    <w:lvl w:ilvl="1">
      <w:lvlJc w:val="left"/>
      <w:lvlText w:val="(%2)"/>
      <w:numFmt w:val="lowerLetter"/>
      <w:start w:val="9"/>
    </w:lvl>
  </w:abstractNum>
  <w:abstractNum w:abstractNumId="29">
    <w:nsid w:val="2D517796"/>
    <w:multiLevelType w:val="hybridMultilevel"/>
    <w:lvl w:ilvl="0">
      <w:lvlJc w:val="left"/>
      <w:lvlText w:val="%1"/>
      <w:numFmt w:val="lowerLetter"/>
      <w:start w:val="1"/>
    </w:lvl>
    <w:lvl w:ilvl="1">
      <w:lvlJc w:val="left"/>
      <w:lvlText w:val="(%2)"/>
      <w:numFmt w:val="lowerRoman"/>
      <w:start w:val="2"/>
    </w:lvl>
  </w:abstractNum>
  <w:abstractNum w:abstractNumId="30">
    <w:nsid w:val="580BD78F"/>
    <w:multiLevelType w:val="hybridMultilevel"/>
    <w:lvl w:ilvl="0">
      <w:lvlJc w:val="left"/>
      <w:lvlText w:val="(%1)"/>
      <w:numFmt w:val="lowerLetter"/>
      <w:start w:val="14"/>
    </w:lvl>
    <w:lvl w:ilvl="1">
      <w:lvlJc w:val="left"/>
      <w:lvlText w:val="%2"/>
      <w:numFmt w:val="lowerRoman"/>
      <w:start w:val="1"/>
    </w:lvl>
  </w:abstractNum>
  <w:abstractNum w:abstractNumId="31">
    <w:nsid w:val="153EA438"/>
    <w:multiLevelType w:val="hybridMultilevel"/>
    <w:lvl w:ilvl="0">
      <w:lvlJc w:val="left"/>
      <w:lvlText w:val="%1"/>
      <w:numFmt w:val="lowerLetter"/>
      <w:start w:val="1"/>
    </w:lvl>
    <w:lvl w:ilvl="1">
      <w:lvlJc w:val="left"/>
      <w:lvlText w:val="(%2)"/>
      <w:numFmt w:val="lowerLetter"/>
      <w:start w:val="16"/>
    </w:lvl>
  </w:abstractNum>
  <w:abstractNum w:abstractNumId="32">
    <w:nsid w:val="3855585C"/>
    <w:multiLevelType w:val="hybridMultilevel"/>
    <w:lvl w:ilvl="0">
      <w:lvlJc w:val="left"/>
      <w:lvlText w:val="(%1)"/>
      <w:numFmt w:val="lowerLetter"/>
      <w:start w:val="9"/>
    </w:lvl>
    <w:lvl w:ilvl="1">
      <w:lvlJc w:val="left"/>
      <w:lvlText w:val="(%2)"/>
      <w:numFmt w:val="lowerLetter"/>
      <w:start w:val="18"/>
    </w:lvl>
  </w:abstractNum>
  <w:abstractNum w:abstractNumId="33">
    <w:nsid w:val="70A64E2A"/>
    <w:multiLevelType w:val="hybridMultilevel"/>
    <w:lvl w:ilvl="0">
      <w:lvlJc w:val="left"/>
      <w:lvlText w:val="(%1)"/>
      <w:numFmt w:val="lowerLetter"/>
      <w:start w:val="21"/>
    </w:lvl>
  </w:abstractNum>
  <w:abstractNum w:abstractNumId="34">
    <w:nsid w:val="6A2342EC"/>
    <w:multiLevelType w:val="hybridMultilevel"/>
    <w:lvl w:ilvl="0">
      <w:lvlJc w:val="left"/>
      <w:lvlText w:val="(%1)"/>
      <w:numFmt w:val="lowerLetter"/>
      <w:start w:val="25"/>
    </w:lvl>
  </w:abstractNum>
  <w:abstractNum w:abstractNumId="35">
    <w:nsid w:val="2A487CB0"/>
    <w:multiLevelType w:val="hybridMultilevel"/>
    <w:lvl w:ilvl="0">
      <w:lvlJc w:val="left"/>
      <w:lvlText w:val="%1"/>
      <w:numFmt w:val="decimal"/>
      <w:start w:val="1"/>
    </w:lvl>
    <w:lvl w:ilvl="1">
      <w:lvlJc w:val="left"/>
      <w:lvlText w:val="(%2)"/>
      <w:numFmt w:val="lowerLetter"/>
      <w:start w:val="27"/>
    </w:lvl>
  </w:abstractNum>
  <w:abstractNum w:abstractNumId="36">
    <w:nsid w:val="1D4ED43B"/>
    <w:multiLevelType w:val="hybridMultilevel"/>
    <w:lvl w:ilvl="0">
      <w:lvlJc w:val="left"/>
      <w:lvlText w:val="%1."/>
      <w:numFmt w:val="decimal"/>
      <w:start w:val="8"/>
    </w:lvl>
    <w:lvl w:ilvl="1">
      <w:lvlJc w:val="left"/>
      <w:lvlText w:val="(%2)"/>
      <w:numFmt w:val="lowerLetter"/>
      <w:start w:val="1"/>
    </w:lvl>
  </w:abstractNum>
  <w:abstractNum w:abstractNumId="37">
    <w:nsid w:val="725A06FB"/>
    <w:multiLevelType w:val="hybridMultilevel"/>
    <w:lvl w:ilvl="0">
      <w:lvlJc w:val="left"/>
      <w:lvlText w:val="(%1)"/>
      <w:numFmt w:val="lowerLetter"/>
      <w:start w:val="4"/>
    </w:lvl>
  </w:abstractNum>
  <w:abstractNum w:abstractNumId="38">
    <w:nsid w:val="2CD89A32"/>
    <w:multiLevelType w:val="hybridMultilevel"/>
    <w:lvl w:ilvl="0">
      <w:lvlJc w:val="left"/>
      <w:lvlText w:val="%1"/>
      <w:numFmt w:val="decimal"/>
      <w:start w:val="1"/>
    </w:lvl>
    <w:lvl w:ilvl="1">
      <w:lvlJc w:val="left"/>
      <w:lvlText w:val="(%2)"/>
      <w:numFmt w:val="lowerLetter"/>
      <w:start w:val="11"/>
    </w:lvl>
  </w:abstractNum>
  <w:abstractNum w:abstractNumId="39">
    <w:nsid w:val="57E4CCAF"/>
    <w:multiLevelType w:val="hybridMultilevel"/>
    <w:lvl w:ilvl="0">
      <w:lvlJc w:val="left"/>
      <w:lvlText w:val="%1."/>
      <w:numFmt w:val="decimal"/>
      <w:start w:val="9"/>
    </w:lvl>
    <w:lvl w:ilvl="1">
      <w:lvlJc w:val="left"/>
      <w:lvlText w:val="(%2)"/>
      <w:numFmt w:val="lowerLetter"/>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lowerLetter"/>
      <w:start w:val="4"/>
    </w:lvl>
  </w:abstractNum>
  <w:abstractNum w:abstractNumId="42">
    <w:nsid w:val="542289EC"/>
    <w:multiLevelType w:val="hybridMultilevel"/>
    <w:lvl w:ilvl="0">
      <w:lvlJc w:val="left"/>
      <w:lvlText w:val="%1."/>
      <w:numFmt w:val="decimal"/>
      <w:start w:val="10"/>
    </w:lvl>
    <w:lvl w:ilvl="1">
      <w:lvlJc w:val="left"/>
      <w:lvlText w:val="(%2)"/>
      <w:numFmt w:val="lowerLetter"/>
      <w:start w:val="1"/>
    </w:lvl>
  </w:abstractNum>
  <w:abstractNum w:abstractNumId="43">
    <w:nsid w:val="6DE91B18"/>
    <w:multiLevelType w:val="hybridMultilevel"/>
    <w:lvl w:ilvl="0">
      <w:lvlJc w:val="left"/>
      <w:lvlText w:val="(%1)"/>
      <w:numFmt w:val="lowerLetter"/>
      <w:start w:val="3"/>
    </w:lvl>
  </w:abstractNum>
  <w:abstractNum w:abstractNumId="44">
    <w:nsid w:val="38437FDB"/>
    <w:multiLevelType w:val="hybridMultilevel"/>
    <w:lvl w:ilvl="0">
      <w:lvlJc w:val="left"/>
      <w:lvlText w:val="%1."/>
      <w:numFmt w:val="decimal"/>
      <w:start w:val="12"/>
    </w:lvl>
  </w:abstractNum>
  <w:abstractNum w:abstractNumId="45">
    <w:nsid w:val="7644A45C"/>
    <w:multiLevelType w:val="hybridMultilevel"/>
    <w:lvl w:ilvl="0">
      <w:lvlJc w:val="left"/>
      <w:lvlText w:val="%1."/>
      <w:numFmt w:val="decimal"/>
      <w:start w:val="13"/>
    </w:lvl>
  </w:abstractNum>
  <w:abstractNum w:abstractNumId="46">
    <w:nsid w:val="32FFF902"/>
    <w:multiLevelType w:val="hybridMultilevel"/>
    <w:lvl w:ilvl="0">
      <w:lvlJc w:val="left"/>
      <w:lvlText w:val="%1."/>
      <w:numFmt w:val="decimal"/>
      <w:start w:val="16"/>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4"/>
    </w:lvl>
  </w:abstractNum>
  <w:abstractNum w:abstractNumId="48">
    <w:nsid w:val="579478FE"/>
    <w:multiLevelType w:val="hybridMultilevel"/>
    <w:lvl w:ilvl="0">
      <w:lvlJc w:val="left"/>
      <w:lvlText w:val="%1."/>
      <w:numFmt w:val="decimal"/>
      <w:start w:val="21"/>
    </w:lvl>
    <w:lvl w:ilvl="1">
      <w:lvlJc w:val="left"/>
      <w:lvlText w:val="(%2)"/>
      <w:numFmt w:val="lowerLetter"/>
      <w:start w:val="1"/>
    </w:lvl>
  </w:abstractNum>
  <w:abstractNum w:abstractNumId="49">
    <w:nsid w:val="749ABB43"/>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2020-03-27T16:21:57Z</dcterms:created>
  <dcterms:modified xsi:type="dcterms:W3CDTF">2020-03-27T16:21:57Z</dcterms:modified>
</cp:coreProperties>
</file>