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19,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1,469,097*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1,469,097*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1,469,097*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This Amendment No. 9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Amendment No. 9</w:t>
      </w:r>
      <w:r>
        <w:rPr>
          <w:rFonts w:ascii="Arial" w:cs="Arial" w:eastAsia="Arial" w:hAnsi="Arial"/>
          <w:sz w:val="18"/>
          <w:szCs w:val="18"/>
          <w:color w:val="auto"/>
        </w:rPr>
        <w:t>”) amends and supplements the Schedule 13D, dated February 6,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6, 2018 (Amendment No. 9, and collectively, with the Original Schedule 13D, as amended on February 13, 2018, April 4, 2018, April 13, 2018, April 18, 2018, April 23, 2018, May 2, 2018, May 14, 2018 and May 23, 2018, the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13D</w:t>
      </w:r>
      <w:r>
        <w:rPr>
          <w:rFonts w:ascii="Arial" w:cs="Arial" w:eastAsia="Arial" w:hAnsi="Arial"/>
          <w:sz w:val="18"/>
          <w:szCs w:val="18"/>
          <w:color w:val="auto"/>
        </w:rPr>
        <w:t>”), with respect to the Common Stock, par value 0.07 NIS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Joseph E. Payne. Capitalized terms used but not defined herein shall have the respective meanings set forth in the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and restated as follows: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4, 2013, the Reporting Person purchased shares of common stock of Arcturus Therapeutics, Inc. in connection with its formation for an aggregate purchase price of $10,000 pursuant to a Common Stock Purchase Agreement, dated March 4, 2013, as amended on September 27, 2017, by and between the Reporting Person and Arcturus Therapeutics, Inc. The Common Stock Purchase Agreement is attached as Exhibit A to Original Schedule 13D. Such purchase was effected by the Reporting Person with personal funds.</w:t>
      </w:r>
    </w:p>
    <w:p>
      <w:pPr>
        <w:spacing w:after="0" w:line="1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shares of Arcturus Therapeutics, Inc. were converted into 1,465,097 Ordinary Shares of the Issuer on November 16, 2017, pursuant to the terms of an Agreement and Plan of Merger and Reorganization entered into by and between the Issuer and Arcturus Therapeutics, Inc. on September 27, 2017.</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Between November 13, 2018 and November 19, 2018, the Reporting Person purchased 4,000 Ordinary Shares of the Issuer for an aggregate purchase price of $27,054. Such purchase was effected by the Reporting Person with personal funds. All of the purchases were effected on the open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(a) - (b) of the Schedule 13D is hereby amended and restated as follows:</w:t>
      </w:r>
    </w:p>
    <w:p>
      <w:pPr>
        <w:spacing w:after="0" w:line="225" w:lineRule="exact"/>
        <w:rPr>
          <w:sz w:val="20"/>
          <w:szCs w:val="20"/>
          <w:color w:val="auto"/>
        </w:rPr>
      </w:pPr>
    </w:p>
    <w:p>
      <w:pPr>
        <w:ind w:left="540" w:right="1620" w:hanging="532"/>
        <w:spacing w:after="0" w:line="501" w:lineRule="auto"/>
        <w:tabs>
          <w:tab w:leader="none" w:pos="50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the close of business on November 19, 2018, the Reporting Person directly beneficially owned 1,469,097 Ordinary Shares. Percentage: Approximately 13.7%</w:t>
      </w: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 Sole power to vote or direct vote: 1,469,097</w:t>
      </w:r>
    </w:p>
    <w:p>
      <w:pPr>
        <w:spacing w:after="0" w:line="23" w:lineRule="exact"/>
        <w:rPr>
          <w:rFonts w:ascii="Arial" w:cs="Arial" w:eastAsia="Arial" w:hAnsi="Arial"/>
          <w:sz w:val="18"/>
          <w:szCs w:val="18"/>
          <w:color w:val="auto"/>
        </w:rPr>
      </w:pPr>
    </w:p>
    <w:p>
      <w:pPr>
        <w:ind w:left="720" w:hanging="172"/>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720" w:hanging="172"/>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direct the disposition: 1,469,097</w:t>
      </w:r>
    </w:p>
    <w:p>
      <w:pPr>
        <w:spacing w:after="0" w:line="9" w:lineRule="exact"/>
        <w:rPr>
          <w:rFonts w:ascii="Arial" w:cs="Arial" w:eastAsia="Arial" w:hAnsi="Arial"/>
          <w:sz w:val="18"/>
          <w:szCs w:val="18"/>
          <w:color w:val="auto"/>
        </w:rPr>
      </w:pPr>
    </w:p>
    <w:p>
      <w:pPr>
        <w:ind w:left="720" w:hanging="172"/>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19,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lowerLetter"/>
      <w:start w:val="1"/>
    </w:lvl>
    <w:lvl w:ilvl="1">
      <w:lvlJc w:val="left"/>
      <w:lvlText w:val="%2."/>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2019-12-08T04:53:57Z</dcterms:created>
  <dcterms:modified xsi:type="dcterms:W3CDTF">2019-12-08T04:53:57Z</dcterms:modified>
</cp:coreProperties>
</file>