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212529"/>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October 31,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1"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26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220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33-0595345</w:t>
            </w:r>
          </w:p>
        </w:tc>
      </w:tr>
      <w:tr>
        <w:trPr>
          <w:trHeight w:val="216"/>
        </w:trPr>
        <w:tc>
          <w:tcPr>
            <w:tcW w:w="26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20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 I.R.S. Employer</w:t>
            </w:r>
          </w:p>
        </w:tc>
      </w:tr>
      <w:tr>
        <w:trPr>
          <w:trHeight w:val="238"/>
        </w:trPr>
        <w:tc>
          <w:tcPr>
            <w:tcW w:w="26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2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640" w:type="dxa"/>
            <w:vAlign w:val="bottom"/>
          </w:tcPr>
          <w:p>
            <w:pPr>
              <w:spacing w:after="0"/>
              <w:rPr>
                <w:sz w:val="24"/>
                <w:szCs w:val="24"/>
                <w:color w:val="auto"/>
              </w:rPr>
            </w:pPr>
          </w:p>
        </w:tc>
        <w:tc>
          <w:tcPr>
            <w:tcW w:w="4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10628 Science Center Drive, Suite 250</w:t>
            </w:r>
          </w:p>
        </w:tc>
        <w:tc>
          <w:tcPr>
            <w:tcW w:w="220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4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rPr>
              <w:t>San Diego, California 92121</w:t>
            </w:r>
          </w:p>
        </w:tc>
        <w:tc>
          <w:tcPr>
            <w:tcW w:w="2200" w:type="dxa"/>
            <w:vAlign w:val="bottom"/>
          </w:tcPr>
          <w:p>
            <w:pPr>
              <w:spacing w:after="0"/>
              <w:rPr>
                <w:sz w:val="18"/>
                <w:szCs w:val="18"/>
                <w:color w:val="auto"/>
              </w:rPr>
            </w:pPr>
          </w:p>
        </w:tc>
      </w:tr>
      <w:tr>
        <w:trPr>
          <w:trHeight w:val="238"/>
        </w:trPr>
        <w:tc>
          <w:tcPr>
            <w:tcW w:w="2640" w:type="dxa"/>
            <w:vAlign w:val="bottom"/>
          </w:tcPr>
          <w:p>
            <w:pPr>
              <w:spacing w:after="0"/>
              <w:rPr>
                <w:sz w:val="20"/>
                <w:szCs w:val="20"/>
                <w:color w:val="auto"/>
              </w:rPr>
            </w:pPr>
          </w:p>
        </w:tc>
        <w:tc>
          <w:tcPr>
            <w:tcW w:w="4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22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tc>
        <w:tc>
          <w:tcPr>
            <w:tcW w:w="20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10"/>
        </w:trPr>
        <w:tc>
          <w:tcPr>
            <w:tcW w:w="4500" w:type="dxa"/>
            <w:vAlign w:val="bottom"/>
          </w:tcPr>
          <w:p>
            <w:pPr>
              <w:spacing w:after="0"/>
              <w:rPr>
                <w:sz w:val="24"/>
                <w:szCs w:val="24"/>
                <w:color w:val="auto"/>
              </w:rPr>
            </w:pPr>
          </w:p>
        </w:tc>
        <w:tc>
          <w:tcPr>
            <w:tcW w:w="20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7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0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ARCT</w:t>
            </w:r>
          </w:p>
        </w:tc>
        <w:tc>
          <w:tcPr>
            <w:tcW w:w="47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2022, Arcturus Therapeutics, Inc. (“Arcturus”), a wholly-owned subsidiary of Arcturus Therapeutics Holdings Inc., entered into a Study Support Agreement (the “Support Agreement”) with Vinbiocare Biotechnology Joint Stock Company (“Vinbiocare”), a company established under the laws of Vietnam. Vinbiocare has been serving as the regulatory and financial sponsor of clinical studies conducted in Vietnam of Arcturus’ vaccine candidate known as ARCT-154 (the “Study”), and Vinbiocare has conducted the Study by and through its contractors and agents.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Study is being conducted pursuant to the Third Party Study Agreement, effective as of August 2, 2021, between Arcturus and Vinbiocare (the “Study Agreement”). The Study has completed dosing of participants and has continuing activities that Arcturus and Vinbiocare recognize are important to conduct in an ethical manner, compliant with applicable laws, to help ensure that the Study results should be acceptable to regulatory authorities in applicable territories. Therefore, the parties have entered into the Support Agreement to provide for Arcturus to conduct certain services and take on material financial responsibilities for certain matters to help achieve the objectives of the Study.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Support Agreement provides that Arcturus will make certain limited payments to Vinbiocare,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only a partial summary of the material terms of the Support Agreement, does not purport to be a complete description of the rights and obligations of the parties thereunder and is qualified in its entirety by reference to the Support Agreement that is filed as exhibit 10.1 to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31, 2022, Arcturus received notice of termination from Janssen Pharmaceuticals, Inc. of the Research Collaboration and License Agreement, by and between Arcturus Therapeutics, Inc. and Janssen Pharmaceuticals, Inc., dated October 18, 2017 (the “Janssen Agreement”). The Janssen Agreement provided for the parties to collaborate on developing nucleic acid-based therapeutic candidates for the treatment of Hepatitis B. The Janssen Agreement was terminated in its entirety by Janssen for convenience. Arcturus will not incur any penalties as a result of this termination. The termination is effective 60 days after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31, 2022, Arcturus and Vinbiocare executed a letter agreement terminating the following agreements, effective October 31, 2022:</w:t>
      </w:r>
    </w:p>
    <w:p>
      <w:pPr>
        <w:spacing w:after="0" w:line="225" w:lineRule="exact"/>
        <w:rPr>
          <w:sz w:val="20"/>
          <w:szCs w:val="20"/>
          <w:color w:val="auto"/>
        </w:rPr>
      </w:pPr>
    </w:p>
    <w:p>
      <w:pPr>
        <w:jc w:val="both"/>
        <w:ind w:firstLine="656"/>
        <w:spacing w:after="0" w:line="266" w:lineRule="auto"/>
        <w:tabs>
          <w:tab w:leader="none" w:pos="9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and Technical Support Agreement (the “License Agreement”), signed July 29, 2021 and effective July 30, 2021, by and between Arcturus Therapeutics, Inc. and Vinbiocare Research and Manufacture Joint Stock Company, attached as Exhibit 10.32 to Arcturus’ Quarterly Report on Form 10-Q for the quarter ended June 30, 2021, filed on August 10, 2021 (File No. 001-38942);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Framework Drug Substance Supply Agreement (the “Supply Agreement”), signed July 29, 2021 and effective July 30, 2021, by and between Arcturus Therapeutics, Inc. and Vinbiocare Research and Manufacture Joint Stock Company, attached as Exhibit 10.33 to Arcturus’ Quarterly Report on Form 10-Q for the quarter ended June 30, 2021, filed on August 10, 2021 (File No. 001-38942).</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License Agreement and the Supply Agreement related to a collaboration to establish a manufacturing facility in Vietnam for the manufacture of Arcturus’ investigational COVID-19 vaccines for sale and use in Vietnam. The License Agreement provided Vinbiocare with access to Arcturus’ technologies and processes for the manufacture of the vaccines and the exclusive license to manufacture the vaccines at the facility in Vietnam solely for distribution in Vietnam. The Supply Agreement provided for Arcturus to supply Vinbiocare with mRNA drug substance for the manufacture of the vaccines under the License Agreement. The parties mutually agreed to terminate the License Agreement and the Supply Agreement. Accordingly, Vinbiocare will not further pursue the manufacturing and distribution of the COVID-19 vaccine in Vietnam. No termination penalties were incurred by Arcturus in connection with the termination of either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6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 **</w:t>
            </w:r>
          </w:p>
        </w:tc>
        <w:tc>
          <w:tcPr>
            <w:tcW w:w="864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Study Support Agreement effective October 31, 2022 by and between Arcturus Therapeutics, Inc. and Vinbiocare</w:t>
            </w:r>
          </w:p>
        </w:tc>
      </w:tr>
      <w:tr>
        <w:trPr>
          <w:trHeight w:val="196"/>
        </w:trPr>
        <w:tc>
          <w:tcPr>
            <w:tcW w:w="2600" w:type="dxa"/>
            <w:vAlign w:val="bottom"/>
          </w:tcPr>
          <w:p>
            <w:pPr>
              <w:spacing w:after="0"/>
              <w:rPr>
                <w:sz w:val="17"/>
                <w:szCs w:val="17"/>
                <w:color w:val="auto"/>
              </w:rPr>
            </w:pPr>
          </w:p>
        </w:tc>
        <w:tc>
          <w:tcPr>
            <w:tcW w:w="8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Biotechnology Joint Stock Company</w:t>
            </w:r>
            <w:r>
              <w:rPr>
                <w:rFonts w:ascii="Times New Roman" w:cs="Times New Roman" w:eastAsia="Times New Roman" w:hAnsi="Times New Roman"/>
                <w:sz w:val="18"/>
                <w:szCs w:val="18"/>
                <w:color w:val="000000"/>
              </w:rPr>
              <w:t>.</w:t>
            </w:r>
          </w:p>
        </w:tc>
      </w:tr>
      <w:tr>
        <w:trPr>
          <w:trHeight w:val="20"/>
        </w:trPr>
        <w:tc>
          <w:tcPr>
            <w:tcW w:w="260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firstLine="8"/>
        <w:spacing w:after="0" w:line="260"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25" w:lineRule="exact"/>
        <w:rPr>
          <w:sz w:val="20"/>
          <w:szCs w:val="20"/>
          <w:color w:val="auto"/>
        </w:rPr>
      </w:pPr>
    </w:p>
    <w:tbl>
      <w:tblPr>
        <w:tblLayout w:type="fixed"/>
        <w:tblInd w:w="62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698" w:right="339" w:bottom="1440" w:gutter="0" w:footer="0" w:header="0"/>
        </w:sectPr>
      </w:pPr>
    </w:p>
    <w:bookmarkStart w:id="4" w:name="page5"/>
    <w:bookmarkEnd w:id="4"/>
    <w:p>
      <w:pPr>
        <w:jc w:val="center"/>
        <w:ind w:left="340" w:right="100"/>
        <w:spacing w:after="0" w:line="31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STUDY SUPPORT AGREEMENT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This Study Support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effective as of the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October,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 Arcturus Therapeutics, Inc., a Delaware Corporation with offices at 10628 Science Center Drive, Suite 250, San Diego, CA 92121 (“</w:t>
      </w:r>
      <w:r>
        <w:rPr>
          <w:rFonts w:ascii="Times New Roman" w:cs="Times New Roman" w:eastAsia="Times New Roman" w:hAnsi="Times New Roman"/>
          <w:sz w:val="18"/>
          <w:szCs w:val="18"/>
          <w:b w:val="1"/>
          <w:bCs w:val="1"/>
          <w:i w:val="1"/>
          <w:iCs w:val="1"/>
          <w:color w:val="auto"/>
        </w:rPr>
        <w:t>ARCTURUS</w:t>
      </w:r>
      <w:r>
        <w:rPr>
          <w:rFonts w:ascii="Times New Roman" w:cs="Times New Roman" w:eastAsia="Times New Roman" w:hAnsi="Times New Roman"/>
          <w:sz w:val="18"/>
          <w:szCs w:val="18"/>
          <w:color w:val="auto"/>
        </w:rPr>
        <w:t>”), and Vinbiocare Biotechnology Joint Stock Company, a company duly established under the laws of Vietnam with its registered address at Lot CN1-12B-3- at Hi-Tech Industrial Park 1, Hoa Lac Hi-Tech Park, Thach Hoa, Thach That, Hanoi City, Vietnam (“</w:t>
      </w:r>
      <w:r>
        <w:rPr>
          <w:rFonts w:ascii="Times New Roman" w:cs="Times New Roman" w:eastAsia="Times New Roman" w:hAnsi="Times New Roman"/>
          <w:sz w:val="18"/>
          <w:szCs w:val="18"/>
          <w:b w:val="1"/>
          <w:bCs w:val="1"/>
          <w:i w:val="1"/>
          <w:iCs w:val="1"/>
          <w:color w:val="auto"/>
        </w:rPr>
        <w:t>VBC</w:t>
      </w:r>
      <w:r>
        <w:rPr>
          <w:rFonts w:ascii="Times New Roman" w:cs="Times New Roman" w:eastAsia="Times New Roman" w:hAnsi="Times New Roman"/>
          <w:sz w:val="18"/>
          <w:szCs w:val="18"/>
          <w:color w:val="auto"/>
        </w:rPr>
        <w:t>”). ARCTURUS and VBC are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VBC and ARCTURUS are parties to that certain Third Party Study Agreement dated August 2, 2021 (“</w:t>
      </w:r>
      <w:r>
        <w:rPr>
          <w:rFonts w:ascii="Times New Roman" w:cs="Times New Roman" w:eastAsia="Times New Roman" w:hAnsi="Times New Roman"/>
          <w:sz w:val="18"/>
          <w:szCs w:val="18"/>
          <w:b w:val="1"/>
          <w:bCs w:val="1"/>
          <w:i w:val="1"/>
          <w:iCs w:val="1"/>
          <w:color w:val="auto"/>
        </w:rPr>
        <w:t>Study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whereby VBC serves as the regulatory and financial sponsor of the Study and conducts the Study by and through its contractors and agents;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Study has completed dosing but has ongoing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recognize and acknowledge important objectives of continuing Study activities in an ethical manner compliant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ensuring that the Study results, including Study Data, are acceptable to regulatory agencies in applicable territories.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for ARCTURUS to conduct certain services, and take on financial responsibility for certain matters,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Study to help achieve the Objectives;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around the Effective Date, the Parties are terminating the License Agreement and the Supply Agreement pursuant to a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the representations, warranties, covenants and agreements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for other good and valuable consideration, the receipt and sufficiency of which are hereby acknowledged, the Parties (as defined below), intending to be legally bound hereby, agree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IDEFINITIONS</w:t>
      </w:r>
    </w:p>
    <w:p>
      <w:pPr>
        <w:spacing w:after="0" w:line="22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320" w:hanging="899"/>
        <w:spacing w:after="0"/>
        <w:tabs>
          <w:tab w:leader="none" w:pos="2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all capitalized terms used herein shall have the same meanings as set forth in the Study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following capitalized terms used in this Agreement shall have the meanings set forth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GCP</w:t>
      </w:r>
      <w:r>
        <w:rPr>
          <w:rFonts w:ascii="Times New Roman" w:cs="Times New Roman" w:eastAsia="Times New Roman" w:hAnsi="Times New Roman"/>
          <w:sz w:val="18"/>
          <w:szCs w:val="18"/>
          <w:color w:val="auto"/>
        </w:rPr>
        <w:t xml:space="preserve">” means Good Clinical Practices as defined in the Study Agreement and generally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License Agreement</w:t>
      </w:r>
      <w:r>
        <w:rPr>
          <w:rFonts w:ascii="Times New Roman" w:cs="Times New Roman" w:eastAsia="Times New Roman" w:hAnsi="Times New Roman"/>
          <w:sz w:val="18"/>
          <w:szCs w:val="18"/>
          <w:color w:val="auto"/>
        </w:rPr>
        <w:t>” means that certain Technology License and Technical Support Agreement dated as of July 29, 2021, between VBC and ARCTURUS.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Objectives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 (Objectives)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xml:space="preserve">” means each individual service set forth in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including in any approved Workplan.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Fees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xml:space="preserve">” means, with respect to a particular Service, the Party that is identified on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and in any Workplan as being the Party that is responsible for providing such Service.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 Provider Contract Manager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Services Standard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Workplan</w:t>
      </w:r>
      <w:r>
        <w:rPr>
          <w:rFonts w:ascii="Times New Roman" w:cs="Times New Roman" w:eastAsia="Times New Roman" w:hAnsi="Times New Roman"/>
          <w:sz w:val="18"/>
          <w:szCs w:val="18"/>
          <w:color w:val="auto"/>
        </w:rPr>
        <w:t xml:space="preserve">” means any document approved by the Parties under this Agreement that sets forth a description and details of a Service to be provided by a Party or other Service Provider or Designee to a recipient Party. Upon signature, such Workplan shall automatically become incorporated as </w:t>
      </w:r>
      <w:r>
        <w:rPr>
          <w:rFonts w:ascii="Times New Roman" w:cs="Times New Roman" w:eastAsia="Times New Roman" w:hAnsi="Times New Roman"/>
          <w:sz w:val="18"/>
          <w:szCs w:val="18"/>
          <w:b w:val="1"/>
          <w:bCs w:val="1"/>
          <w:color w:val="auto"/>
        </w:rPr>
        <w:t xml:space="preserve">Appendix A </w:t>
      </w:r>
      <w:r>
        <w:rPr>
          <w:rFonts w:ascii="Times New Roman" w:cs="Times New Roman" w:eastAsia="Times New Roman" w:hAnsi="Times New Roman"/>
          <w:sz w:val="18"/>
          <w:szCs w:val="18"/>
          <w:color w:val="auto"/>
        </w:rPr>
        <w:t>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Study</w:t>
      </w:r>
      <w:r>
        <w:rPr>
          <w:rFonts w:ascii="Times New Roman" w:cs="Times New Roman" w:eastAsia="Times New Roman" w:hAnsi="Times New Roman"/>
          <w:sz w:val="18"/>
          <w:szCs w:val="18"/>
          <w:color w:val="auto"/>
        </w:rPr>
        <w:t>” means the clinical study conducted by the Parties pursuant to the Study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Study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Study Data</w:t>
      </w:r>
      <w:r>
        <w:rPr>
          <w:rFonts w:ascii="Times New Roman" w:cs="Times New Roman" w:eastAsia="Times New Roman" w:hAnsi="Times New Roman"/>
          <w:sz w:val="18"/>
          <w:szCs w:val="18"/>
          <w:color w:val="auto"/>
        </w:rPr>
        <w:t>” has the meaning set forth in the Study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Supply Agreement</w:t>
      </w:r>
      <w:r>
        <w:rPr>
          <w:rFonts w:ascii="Times New Roman" w:cs="Times New Roman" w:eastAsia="Times New Roman" w:hAnsi="Times New Roman"/>
          <w:sz w:val="18"/>
          <w:szCs w:val="18"/>
          <w:color w:val="auto"/>
        </w:rPr>
        <w:t>” means that certain Framework Drug Substance Supply Agreement dated as of July 29, 2021, between VBC and ARCTURUS.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 Provider</w:t>
      </w:r>
      <w:r>
        <w:rPr>
          <w:rFonts w:ascii="Times New Roman" w:cs="Times New Roman" w:eastAsia="Times New Roman" w:hAnsi="Times New Roman"/>
          <w:sz w:val="18"/>
          <w:szCs w:val="18"/>
          <w:color w:val="auto"/>
        </w:rPr>
        <w:t>” means any person, company or other entity that is not a Party and that a Party engages to perform any Service on behalf of such Party in accordance with the terms of this Agreement.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The words “hereof”, “herein”, “hereto” and “hereunder” and words of similar import, when used in this Agreement, shall refer to this Agreement as a whole and not to any particular provision of this Agreement.</w:t>
      </w:r>
    </w:p>
    <w:p>
      <w:pPr>
        <w:spacing w:after="0" w:line="162" w:lineRule="exact"/>
        <w:rPr>
          <w:sz w:val="20"/>
          <w:szCs w:val="20"/>
          <w:color w:val="auto"/>
        </w:rPr>
      </w:pPr>
    </w:p>
    <w:p>
      <w:pPr>
        <w:ind w:left="2220" w:hanging="916"/>
        <w:spacing w:after="0"/>
        <w:tabs>
          <w:tab w:leader="none" w:pos="2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the singular shall have a comparable meaning when used in the plural, and vice versa.</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 w:name="page7"/>
    <w:bookmarkEnd w:id="6"/>
    <w:p>
      <w:pPr>
        <w:ind w:left="2240" w:hanging="936"/>
        <w:spacing w:after="0"/>
        <w:tabs>
          <w:tab w:leader="none" w:pos="2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“dollars” and “$” shall mean United States of America dollars.</w:t>
      </w:r>
    </w:p>
    <w:p>
      <w:pPr>
        <w:spacing w:after="0" w:line="225"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shall mean “including, without limitation.”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3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a Section, or an Appendix, such reference shall be to an Article of, a Section of, or an Appendix to,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010000"/>
        </w:rPr>
        <w:t>Objectives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Objectives</w:t>
      </w:r>
      <w:r>
        <w:rPr>
          <w:rFonts w:ascii="Times New Roman" w:cs="Times New Roman" w:eastAsia="Times New Roman" w:hAnsi="Times New Roman"/>
          <w:sz w:val="18"/>
          <w:szCs w:val="18"/>
          <w:color w:val="auto"/>
        </w:rPr>
        <w:t>” means continuation of the Study activities in an ethical manner compliant with Applicable Laws, and ensuring that the Study results, including Study Data, are acceptable to regulatory agencies in applicable territories. Objectives include:</w:t>
      </w:r>
    </w:p>
    <w:p>
      <w:pPr>
        <w:spacing w:after="0" w:line="159" w:lineRule="exact"/>
        <w:rPr>
          <w:sz w:val="20"/>
          <w:szCs w:val="20"/>
          <w:color w:val="auto"/>
        </w:rPr>
      </w:pPr>
    </w:p>
    <w:p>
      <w:pPr>
        <w:ind w:left="2220" w:hanging="916"/>
        <w:spacing w:after="0"/>
        <w:tabs>
          <w:tab w:leader="none" w:pos="2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 for [***] and [***] of the [***];</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conduct of all remaining activities of [***] in [***] with [***], [***], and the [***];</w:t>
      </w:r>
    </w:p>
    <w:p>
      <w:pPr>
        <w:spacing w:after="0" w:line="225"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 for [***] of a [***] concerning [***] of [***];</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support and coordinate to [***] for [***] (including [***], [***] and [***]) that could be [***] by [***] until not later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w:t>
      </w:r>
    </w:p>
    <w:p>
      <w:pPr>
        <w:spacing w:after="0" w:line="207" w:lineRule="exact"/>
        <w:rPr>
          <w:sz w:val="20"/>
          <w:szCs w:val="20"/>
          <w:color w:val="auto"/>
        </w:rPr>
      </w:pPr>
    </w:p>
    <w:p>
      <w:pPr>
        <w:ind w:left="2280" w:hanging="976"/>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will remain [***] of [***] as provided in [***]. [***] will provide copies of [***] as well as to allow [***] access to</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from [***] and any [***] from [***], if needed.</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conducting activities and Services in furtherance of the Objectives, each Party agrees that it will not conduct any activities that materially hinder the accomplishment of the Objectives.</w:t>
      </w:r>
    </w:p>
    <w:p>
      <w:pPr>
        <w:spacing w:after="0" w:line="16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2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as of the Effective Date, [***] shall [***] as [***] in [***] and [***] shall [***] to [***], and [***] over [***] to [***] that are [***] after the Effective Date and in accordance with this Agreement, [***] and [***] with [***] as [***] of [***]. In furtherance of the foregoing, (i) [***] shall be responsible for [***] of [***] as set forth in the Workplan (to the extent conducted in accordance with this Agreement, and (ii) [***] agrees that [***] shall [***] to [***] its [***] and [***] to, [***] in [***] with [***] and take any actions necessary to help effectuate the foregoing and [***], including by allowing [***] access to [***], [***]and [***] if needed upon [***] request and retaining appropriate personnel to support on this study. For avoidance of doubt, and notwithstanding anything else in this Agreement, VBC shall retain any responsibility and control of the Study as required of the Study sponsor under Applicable Laws for purposes of achieving the Objectives.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 w:name="page8"/>
    <w:bookmarkEnd w:id="7"/>
    <w:p>
      <w:pPr>
        <w:jc w:val="both"/>
        <w:ind w:firstLine="1304"/>
        <w:spacing w:after="0" w:line="266" w:lineRule="auto"/>
        <w:tabs>
          <w:tab w:leader="none" w:pos="15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Without limiting Section 2.2(a), the Parties shall agree upon a Workplan consistent with the Objectives and Section 2.2(a), which Workplan shall be automatically incorporated herein upon signature by the Parties as part of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Each Party shall provide its assistance and services as set forth in this Article II and under the Workplan.</w:t>
      </w:r>
    </w:p>
    <w:p>
      <w:pPr>
        <w:spacing w:after="0" w:line="171" w:lineRule="exact"/>
        <w:rPr>
          <w:rFonts w:ascii="Times New Roman" w:cs="Times New Roman" w:eastAsia="Times New Roman" w:hAnsi="Times New Roman"/>
          <w:sz w:val="18"/>
          <w:szCs w:val="18"/>
          <w:color w:val="auto"/>
        </w:rPr>
      </w:pPr>
    </w:p>
    <w:p>
      <w:pPr>
        <w:ind w:left="2220" w:hanging="916"/>
        <w:spacing w:after="0"/>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will comply with its obligations set forth on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related to the Services.</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If, at any time during the term of this Agreement, any party (either ARCTURUS or VBC) reasonably determines that it is necessary for a Party to conduct, or cause to be provided, any other activity in furtherance of the Objectives that is not reflected in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the Parties shall cooperate in good faith and use reasonable efforts to promptly amend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8"/>
          <w:szCs w:val="18"/>
          <w:u w:val="single" w:color="auto"/>
          <w:color w:val="auto"/>
        </w:rPr>
        <w:t>Service Fees; Reimbursement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2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Service Fees including but not limited to the service supplied by VBC and applicable Service Providers shall be paid by ARCTURUS TO VBC pursuant to the payment provisions and schedule provided in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Unless otherwise set forth on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with respect to a particular Service, any payment of fees and/or reimbursement of expenses by ARCTURUS to VBC (“</w:t>
      </w:r>
      <w:r>
        <w:rPr>
          <w:rFonts w:ascii="Times New Roman" w:cs="Times New Roman" w:eastAsia="Times New Roman" w:hAnsi="Times New Roman"/>
          <w:sz w:val="18"/>
          <w:szCs w:val="18"/>
          <w:b w:val="1"/>
          <w:bCs w:val="1"/>
          <w:i w:val="1"/>
          <w:iCs w:val="1"/>
          <w:color w:val="auto"/>
        </w:rPr>
        <w:t>Service Fees</w:t>
      </w:r>
      <w:r>
        <w:rPr>
          <w:rFonts w:ascii="Times New Roman" w:cs="Times New Roman" w:eastAsia="Times New Roman" w:hAnsi="Times New Roman"/>
          <w:sz w:val="18"/>
          <w:szCs w:val="18"/>
          <w:color w:val="auto"/>
        </w:rPr>
        <w:t>”)will be invoiced per the payment schedule outlined in Appendix A. No other fees will be required by Arcturus other than those set out in the payment provisions and schedule provided in Appendix A.</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invoices submitted by one Party to another Party hereunder shall include VAT or sales Tax as required by applicable Law.</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Standard for the Provision of Services</w:t>
      </w:r>
      <w:r>
        <w:rPr>
          <w:rFonts w:ascii="Times New Roman" w:cs="Times New Roman" w:eastAsia="Times New Roman" w:hAnsi="Times New Roman"/>
          <w:sz w:val="18"/>
          <w:szCs w:val="18"/>
          <w:color w:val="auto"/>
        </w:rPr>
        <w:t>. Each Service Provider shall, and shall cause its Third Party Providers to: (a) provide the Services, or cause the Services to be provided, (i) in accordance with all Applicable Laws; (ii) a professional, diligent and timely manner and (iii) by persons who are not debarred, restricted, suspended or deemed subject to debarment by the FDA, nor, to applicable Service Provider’s knowledge, subject of a conviction described in, Section 306 of the FDCA or 42 U.S.C. §1320a–7 or any similar debarment or ineligibility provisions applicable to any health care program of a Governmental Authority; and (b) assign sufficient resources and available qualified personnel (based on education, training and skill) to perform its obligations under this Agreement in accordance with the standards set forth in clause (a) (the standard set forth in this sentence, the “</w:t>
      </w:r>
      <w:r>
        <w:rPr>
          <w:rFonts w:ascii="Times New Roman" w:cs="Times New Roman" w:eastAsia="Times New Roman" w:hAnsi="Times New Roman"/>
          <w:sz w:val="18"/>
          <w:szCs w:val="18"/>
          <w:b w:val="1"/>
          <w:bCs w:val="1"/>
          <w:i w:val="1"/>
          <w:iCs w:val="1"/>
          <w:color w:val="auto"/>
        </w:rPr>
        <w:t>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Standard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u w:val="single" w:color="auto"/>
          <w:color w:val="auto"/>
        </w:rPr>
        <w:t>Section 2.5              Services Provided by Third Party Providers</w:t>
      </w:r>
      <w:r>
        <w:rPr>
          <w:rFonts w:ascii="Times New Roman" w:cs="Times New Roman" w:eastAsia="Times New Roman" w:hAnsi="Times New Roman"/>
          <w:sz w:val="17"/>
          <w:szCs w:val="17"/>
          <w:color w:val="auto"/>
        </w:rPr>
        <w:t xml:space="preserve">. A Service Provider may cause any Third Party Provider to provide any Services that such Service Provider is responsible for providing;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except otherwise stipulated in this Agreement, [***] are [***] at [***] to</w:t>
      </w:r>
    </w:p>
    <w:p>
      <w:pPr>
        <w:spacing w:after="0" w:line="1" w:lineRule="exact"/>
        <w:rPr>
          <w:sz w:val="20"/>
          <w:szCs w:val="20"/>
          <w:color w:val="auto"/>
        </w:rPr>
      </w:pPr>
    </w:p>
    <w:p>
      <w:pPr>
        <w:jc w:val="both"/>
        <w:ind w:firstLine="8"/>
        <w:spacing w:after="0" w:line="255" w:lineRule="auto"/>
        <w:tabs>
          <w:tab w:leader="none" w:pos="4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such [***] shall [***] to [***] and [***] at [***] to those [***] and that the applicable [***] shall remain primarily responsible and liable for the performance by its [***] of all of its obligations hereunder with respect to [***] so that such performance is in accordance with the terms and conditions hereof.</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(on behalf of itself and any Third Party Providers) shall use its best efforts to (a) cooperate with each other Party with respect to the provision of any Service and (b) enable each other Party to provide the Services in accordance with this Agreement. Such cooperation will include: (i) exchanging information relevant to the performance of the Services to be provided hereunder, (ii) good faith efforts to mitigate problems with the work environment interfering with the performance of the Services required hereunder and (iii) requiring personnel, including employees of Third Party Providers to comply with any security regulations, confidentiality requirements and other published policies of the other Party while on the other Party’s premises or when given access to any equipment, computer, software, network or files owned or controlled by the other Party. None of the Parties shall take any action that would interfere with or materially increase the cost, inclusive of Taxes, of any Service Provider in providing any of the Services. Each Service Provider will comply with all Applicable Laws governing the Services to be provided hereunder. In the event of an assessment or enquiry by a Government authority the Parties shall take reasonable steps, as determined in the sole determination of each Party, to respond to such assessment or enquiry.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2.7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Intellectual property rights under this Agreement shall follow the provisions of Section 12 (Ownership and Inventions) of the Study Agreement, which shall remain unchanged by this Agreement. For clarity, all data, including Study results, communications, reports and compilations of data generated in the performance of the Study in connection with the activities under this Agreement are “Study Data” and subject to Section 11 (Ownership of Data) of the Study Agreement.</w:t>
      </w:r>
    </w:p>
    <w:p>
      <w:pPr>
        <w:spacing w:after="0" w:line="18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8"/>
          <w:szCs w:val="18"/>
          <w:u w:val="single" w:color="auto"/>
          <w:color w:val="auto"/>
        </w:rPr>
        <w:t>Transition Cooperation</w:t>
      </w:r>
      <w:r>
        <w:rPr>
          <w:rFonts w:ascii="Times New Roman" w:cs="Times New Roman" w:eastAsia="Times New Roman" w:hAnsi="Times New Roman"/>
          <w:sz w:val="18"/>
          <w:szCs w:val="18"/>
          <w:color w:val="auto"/>
        </w:rPr>
        <w:t>. Upon request of [***], [***] shall cooperate [***] to [***] share responsibilities in conducting this</w:t>
      </w:r>
    </w:p>
    <w:p>
      <w:pPr>
        <w:spacing w:after="0" w:line="27" w:lineRule="exact"/>
        <w:rPr>
          <w:sz w:val="20"/>
          <w:szCs w:val="20"/>
          <w:color w:val="auto"/>
        </w:rPr>
      </w:pPr>
    </w:p>
    <w:p>
      <w:pPr>
        <w:jc w:val="both"/>
        <w:ind w:firstLine="8"/>
        <w:spacing w:after="0" w:line="250" w:lineRule="auto"/>
        <w:tabs>
          <w:tab w:leader="none" w:pos="4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agreed upon. In connection with such activities, [***] shall share [***], and other materials and information, as [***] by [***]. Without limiting the foregoing, [***] agrees that it will continue to conduct [***] in accordance with [***] unless [***] by [***], and will [***] to [***] as [***] to perform</w:t>
      </w:r>
    </w:p>
    <w:p>
      <w:pPr>
        <w:ind w:left="440" w:hanging="432"/>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role as [***] for the [***] of [***] in accordance with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WARRANTIES, COMPLIANCE AND LIMITATION OF LIABILITY</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Each Party represents and warrants to the other Party that it has the power and authority to enter into and perform its obligations under this Agreement and has taken all actions necessary to execute and deliver this Agreement, to consummate the transactions contemplated hereby and to perform its obligations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Disclaimer of Warranties</w:t>
      </w:r>
      <w:r>
        <w:rPr>
          <w:rFonts w:ascii="Times New Roman" w:cs="Times New Roman" w:eastAsia="Times New Roman" w:hAnsi="Times New Roman"/>
          <w:sz w:val="18"/>
          <w:szCs w:val="18"/>
          <w:color w:val="auto"/>
        </w:rPr>
        <w:t>. EXCEPT AS EXPRESSLY SET FORTH IN THIS AGREEMENT, EACH PARTY (ON BEHALF OF ITSELF AND ANY THIRD PARTY PROVIDERS AND DESIGNEES HEREBY ACKNOWLEDGES THAT THE SERVICES ARE FURNISHED WITHOUT WARRANTY OF ANY KIND, WHETHER EXPRESS OR IMPLIED, INCLUDING ANY WARRANTY IN REGARD TO MERCHANTABILITY OR FITNESS OF THE SERVICES FOR A PARTICULAR PURPOSE.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Each Party shall be responsible for its own compliance with any and all laws applicable to its performance under this Agreement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xml:space="preserve">”). For avoidance of doubt, and without limiting the obligation of the Parties, each party covenants that it shall comply with all applicable national, federal, state and local laws, regulations and guidances in performing its obligations under this Agreement. In particular, but without limiting the foregoing, VBC will use reasonable efforts to conduct and ensure that its Services are conducted in accordance with all applicable laws and regulations governing the conduct of clinical trials in Vietnam, Institutional Review Boards or Independent Ethics Committees </w:t>
      </w:r>
      <w:r>
        <w:rPr>
          <w:rFonts w:ascii="Times New Roman" w:cs="Times New Roman" w:eastAsia="Times New Roman" w:hAnsi="Times New Roman"/>
          <w:sz w:val="18"/>
          <w:szCs w:val="18"/>
          <w:b w:val="1"/>
          <w:bCs w:val="1"/>
          <w:i w:val="1"/>
          <w:iCs w:val="1"/>
          <w:color w:val="auto"/>
        </w:rPr>
        <w:t>("IRB/IEC'),</w:t>
      </w:r>
      <w:r>
        <w:rPr>
          <w:rFonts w:ascii="Times New Roman" w:cs="Times New Roman" w:eastAsia="Times New Roman" w:hAnsi="Times New Roman"/>
          <w:sz w:val="18"/>
          <w:szCs w:val="18"/>
          <w:color w:val="auto"/>
        </w:rPr>
        <w:t xml:space="preserve"> the World Medical Association Declaration of Helsinki entitled 'Ethical Principles for Medical Research Involving Human Subjects' (1983 version), and generally accepted standards of good clinical practice, including the International Conference on Harmonisation (ICH) E6(R2) Guidelines for Good Clinical Practice </w:t>
      </w:r>
      <w:r>
        <w:rPr>
          <w:rFonts w:ascii="Times New Roman" w:cs="Times New Roman" w:eastAsia="Times New Roman" w:hAnsi="Times New Roman"/>
          <w:sz w:val="18"/>
          <w:szCs w:val="18"/>
          <w:b w:val="1"/>
          <w:bCs w:val="1"/>
          <w:i w:val="1"/>
          <w:iCs w:val="1"/>
          <w:color w:val="auto"/>
        </w:rPr>
        <w:t>("ICHJGCPs")</w:t>
      </w:r>
      <w:r>
        <w:rPr>
          <w:rFonts w:ascii="Times New Roman" w:cs="Times New Roman" w:eastAsia="Times New Roman" w:hAnsi="Times New Roman"/>
          <w:sz w:val="18"/>
          <w:szCs w:val="18"/>
          <w:color w:val="auto"/>
        </w:rPr>
        <w:t xml:space="preserve"> and data protection laws of all countries where the Study is being conducted. VBC shall comply with the directives of such IRB/IEC respecting the conduct of the Study. Each Party shall further conduct its activities and the activities of any Third Party Provider it engages in a manner that is consistent with all Anti Corruption Laws.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LIMIATION OF LIABILITY</w:t>
      </w:r>
      <w:r>
        <w:rPr>
          <w:rFonts w:ascii="Times New Roman" w:cs="Times New Roman" w:eastAsia="Times New Roman" w:hAnsi="Times New Roman"/>
          <w:sz w:val="18"/>
          <w:szCs w:val="18"/>
          <w:color w:val="auto"/>
        </w:rPr>
        <w:t>. TO THE MAXIMUM EXTENT PERMITTED BY LAW, (A) [***] SHALL BE [***] TO THE</w:t>
      </w:r>
    </w:p>
    <w:p>
      <w:pPr>
        <w:spacing w:after="0" w:line="27" w:lineRule="exact"/>
        <w:rPr>
          <w:sz w:val="20"/>
          <w:szCs w:val="20"/>
          <w:color w:val="auto"/>
        </w:rPr>
      </w:pPr>
    </w:p>
    <w:p>
      <w:pPr>
        <w:jc w:val="both"/>
        <w:ind w:firstLine="8"/>
        <w:spacing w:after="0" w:line="250" w:lineRule="auto"/>
        <w:tabs>
          <w:tab w:leader="none" w:pos="4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 [***], [***], [***] OR [***], WHETHER LIABILITY IS [***] IN [***], [***] (INCLUDING [***]), [***], OR [***] OR [***] OF [***], [***] IF [***] HAS BEEN [***] OF THE [***]; AND (B) [***] IN CONNECTION WITH [***] OR [***] OF [***] IN [***] WITH [***] IN</w:t>
      </w: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 BY [***] TO [***] UNDER THIS AGREEMENT FOR [***] BY [***] (I.E.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 This Agreement shall commence on the Effective Date and continue until 31 December 2024, unless earlier terminated pursuant to the terms of this Agreement. For clarity, this Section 4.1 supersedes the term and termination rights under Section 15 (Term and Termination) of the Study Agreement and applies to this Agreement and the Study Agreement.</w:t>
      </w:r>
    </w:p>
    <w:p>
      <w:pPr>
        <w:spacing w:after="0" w:line="176" w:lineRule="exact"/>
        <w:rPr>
          <w:sz w:val="20"/>
          <w:szCs w:val="20"/>
          <w:color w:val="auto"/>
        </w:rPr>
      </w:pPr>
    </w:p>
    <w:p>
      <w:pPr>
        <w:jc w:val="both"/>
        <w:ind w:firstLine="1304"/>
        <w:spacing w:after="0" w:line="258" w:lineRule="auto"/>
        <w:tabs>
          <w:tab w:leader="none" w:pos="219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earlier by VBC if ARCTURUS is in material breach of the terms of this Agreement and ARCTURUS fails to cure such breach within 30 days of VBC delivering a written notice of such breach to ARCTURUS. In addition, in the event that VBC desires to terminate this Agreement at any time, (i) the Parties shall promptly develop in good faith and undertake a transition plan to transition roles and responsibilities of VBC to ARCTURUS (or its designee) in a manner designed not to compromise the Objectives, and (ii) upon completion of such transition in (i), VBC may terminate this Agreement immediately upon written notice to ARCTURUS.</w:t>
      </w:r>
    </w:p>
    <w:p>
      <w:pPr>
        <w:spacing w:after="0" w:line="183" w:lineRule="exact"/>
        <w:rPr>
          <w:rFonts w:ascii="Times New Roman" w:cs="Times New Roman" w:eastAsia="Times New Roman" w:hAnsi="Times New Roman"/>
          <w:sz w:val="18"/>
          <w:szCs w:val="18"/>
          <w:color w:val="auto"/>
        </w:rPr>
      </w:pPr>
    </w:p>
    <w:p>
      <w:pPr>
        <w:jc w:val="both"/>
        <w:ind w:firstLine="1304"/>
        <w:spacing w:after="0" w:line="276" w:lineRule="auto"/>
        <w:tabs>
          <w:tab w:leader="none" w:pos="15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This Agreement may be terminated earlier by ARCTURUS (i) if [***] is [***] of the terms of this Agreement and [***] fails to cure such breach within [***] of [***] a written notice of such breach to [***], (ii) upon [***] prior written notice to [***] for [***] or (iii) upon [***] if</w:t>
      </w:r>
    </w:p>
    <w:p>
      <w:pPr>
        <w:ind w:left="440" w:hanging="432"/>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 [***].</w:t>
      </w:r>
    </w:p>
    <w:p>
      <w:pPr>
        <w:spacing w:after="0" w:line="206"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 [***] may [***] such [***] for [***] providing [***] to [***].</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 w:name="page11"/>
    <w:bookmarkEnd w:id="10"/>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2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any Service in accordance with this Agreement, the applicable Service Provider will have no further obligation to provide such Service to the extent of its termination. ARCTURUS shall remain obligated to VBC for any required amounts owed and payable in respect of such terminated Service that was provided by VBC prior to the effective date of termination and any reasonable transition or wind-down period. In connection with the termination of any Service, the provisions of this Agreement not relating solely to such terminated Service shall survive any such termination in accordance with the terms hereof.</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Remedies for breach and the following provisions shall survive the termination or expiration of this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(DEFINITIONS),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(Intellectual Property),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(Transition Cooperation,),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(Disclaimer of Warranties),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(Effect of Termination)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(GENERAL PROVISIONS). Further, upon any termination or expiration of this Agreement, the Parties shall ensure that any materials, approvals and documentation, including the Study Data and Trial Master File, are, at Arcturus’ cost, maintained and/or transferred to Arcturus (or its designee) in a manner that ensures continued compliance with Applicable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u w:val="single" w:color="auto"/>
          <w:color w:val="auto"/>
        </w:rPr>
        <w:t>Treatment of Confidential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2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and shall cause their respective authorized representatives to, maintain in confidence. treat as confidential and safeguard any and all information, knowledge and data relating to or obtained from the other Party (including information regarding the other Party’s and its Affiliates’ business, employees, development plans, programs, documentation, techniques, customer lists, supplier lists, trade secrets, designs, product formulations, product specifications, systems, know-how or any other proprietary or confidential information, however recorded or preserved, whether written or oral) in connection with or pursuant to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by using the same degree of care, but no less than a reasonable standard of care, to prevent the unauthorized use, dissemination or disclosure of such information, knowledge and data as any Party used with respect thereto prior to the execution of this Agreement; except that the foregoing requirements of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apply to the extent that (i) any such information is or becomes generally available to the public other than through an act of any other Party or any of its representatives; (ii) any such information (including any report, statement, testimony or other submission to a Governmental Authority) is required by applicable Law, Governmental Order or such Governmental Authority to be disclosed, after prior notice has been given to the other Party to the extent such notice is not prohibited by applicable Law;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Party shall (A) use commercially reasonable efforts to obtain, at the request of the Party whose Confidential Information is affected, a protective order or other assurance that confidential treatment will be accorded to such portion of the Confidential Information required to be disclosed and (B) disclose only such portion of the Confidential Information as is strictly required by Law; or (iii) any such information was or becomes available to such Party on a nonconfidential basis and from a source (other than a Party hereto or any authorized representative of such Party) that is not bound by a confidentiality agreement with respect to such information. Any Party receiving Confidential Information of another Party may use such Confidential Information only for the purposes of fulfilling its obligations under this Agreement. Each of the Parties hereto shall instruct its authorized representatives having access to such information of the obligations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Party agrees, upon written request therefor to promptly return or</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jc w:val="both"/>
        <w:ind w:firstLine="1304"/>
        <w:spacing w:after="0" w:line="258" w:lineRule="auto"/>
        <w:tabs>
          <w:tab w:leader="none" w:pos="21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destroy (at its option) all Confidential Information of the requesting Party. If such Confidential Information is destroyed, the destroying Party shall notify the other Party of such destruction in writing. Notwithstanding the foregoing, upon the termination of this Agreement, the Parties shall cooperate, and Service Providers shall use commercially reasonable efforts to cause any Third Party Providers and representatives to cooperate, to support any transfer (to the extent not previously transferred) to ARCTURUS of, at ARCTURUS’s cost, any Confidential Information not previously transferred to ARCTURUS through the Services.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hereunder shall be deemed to have been duly given and made if in writing and if served by personal delivery upon the Party for whom it is intended, if delivered by registered or certified mail, return receipt requested, or by a national courier service, or if sent by facsimile, provided that the facsimile is promptly confirmed by telephone confirmation thereof, to the Person at the address set forth below, or such other address as may be designated in writing hereafter, in the same manner, by such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If to ARCTURUS: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If to VBC: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Any provision of this Agreement may be amended or waived if, and only if, such amendment or waiver</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is in writing and signed, in the case of an amendment, by ARCTURUS and VBC,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Section 5.4            </w:t>
      </w:r>
      <w:r>
        <w:rPr>
          <w:rFonts w:ascii="Times New Roman" w:cs="Times New Roman" w:eastAsia="Times New Roman" w:hAnsi="Times New Roman"/>
          <w:sz w:val="17"/>
          <w:szCs w:val="17"/>
          <w:u w:val="single" w:color="auto"/>
          <w:color w:val="auto"/>
        </w:rPr>
        <w:t>  Assignment</w:t>
      </w:r>
      <w:r>
        <w:rPr>
          <w:rFonts w:ascii="Times New Roman" w:cs="Times New Roman" w:eastAsia="Times New Roman" w:hAnsi="Times New Roman"/>
          <w:sz w:val="17"/>
          <w:szCs w:val="17"/>
          <w:color w:val="auto"/>
        </w:rPr>
        <w:t xml:space="preserve">. No Party to this Agreement may assign any of its rights or obligations under this Agreement without the prior written consent of the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in the foregoing shall prohibit ARCTURUS from making any assignment: (i) to any of its Affiliates so long as such Affiliate agrees in writing to be bound by all of the terms, conditions and provisions contained in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no such assignment shall release ARCTURUS from its obligations under this Agreement; and (ii) to any successors to all or substantially all of the business and assets of ARCTURUS, whether in a merger, consolidation, sale of substantially all assets or other similar transaction; provided, however, that [***] may</w:t>
      </w:r>
    </w:p>
    <w:p>
      <w:pPr>
        <w:spacing w:after="0" w:line="3" w:lineRule="exact"/>
        <w:rPr>
          <w:sz w:val="20"/>
          <w:szCs w:val="20"/>
          <w:color w:val="auto"/>
        </w:rPr>
      </w:pPr>
    </w:p>
    <w:p>
      <w:pPr>
        <w:jc w:val="both"/>
        <w:ind w:firstLine="8"/>
        <w:spacing w:after="0" w:line="255" w:lineRule="auto"/>
        <w:tabs>
          <w:tab w:leader="none" w:pos="4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 that [***] or [***] of the [***] and [***] to [***] (including [***] and [***] and [***]) and that is [***] by [***] as [***] under[***] in [***]. Any purported assignment, hypothecation or transfer in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be null and void. This Agreement shall be binding upon, and shall inure to the benefit of, and be enforceable by the Parties hereto and their successors and permitted assigns.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Appendices hereto and the Study Agreement) contains the entire agreement among the Parties with respect to the subject matter hereof. In the event of a conflict between this Agreement and the Study Agreement, the terms of this Agreement shall prevail but only for so long as such terms remain in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5.6               Parties in Interest</w:t>
      </w:r>
      <w:r>
        <w:rPr>
          <w:rFonts w:ascii="Times New Roman" w:cs="Times New Roman" w:eastAsia="Times New Roman" w:hAnsi="Times New Roman"/>
          <w:sz w:val="18"/>
          <w:szCs w:val="18"/>
          <w:color w:val="auto"/>
        </w:rPr>
        <w:t>. This Agreement shall inure to the benefit of and be binding upon the Parties and their respective successors and permitted assigns. Nothing in this Agreement, express or implied, is intended to confer upon any Person other than ARCTURUS, VBC or their successors or permitted assigns, any rights or remedies under or by reason of this Agreement.</w:t>
      </w:r>
    </w:p>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16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England and Wales without applying any principles of conflicts of laws that would result in the application of a different body of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United Nations Convention on Contracts for the International Sale of Goods is hereby excluded by the Parties and shall not apply to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dispute, controversy, or claim arising out of or in relation to this Agreement, or the existence, breach, termination or invalidity thereof shall be settled, insofar as it is possible, by mutual consultation and consent. If the Parties are unable to resolve such dispute within thirty</w:t>
      </w:r>
    </w:p>
    <w:p>
      <w:pPr>
        <w:jc w:val="both"/>
        <w:ind w:firstLine="8"/>
        <w:spacing w:after="0" w:line="253" w:lineRule="auto"/>
        <w:tabs>
          <w:tab w:leader="none" w:pos="3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commencing discussions to resolve the dispute by mutual consultation and consent, the dispute shall be finally resolved by arbitration in Singapore in accordance with the Arbitration Rules of the Singapore International Arbitration Centre (“</w:t>
      </w:r>
      <w:r>
        <w:rPr>
          <w:rFonts w:ascii="Times New Roman" w:cs="Times New Roman" w:eastAsia="Times New Roman" w:hAnsi="Times New Roman"/>
          <w:sz w:val="18"/>
          <w:szCs w:val="18"/>
          <w:b w:val="1"/>
          <w:bCs w:val="1"/>
          <w:i w:val="1"/>
          <w:iCs w:val="1"/>
          <w:color w:val="auto"/>
        </w:rPr>
        <w:t>SIAC Rules</w:t>
      </w:r>
      <w:r>
        <w:rPr>
          <w:rFonts w:ascii="Times New Roman" w:cs="Times New Roman" w:eastAsia="Times New Roman" w:hAnsi="Times New Roman"/>
          <w:sz w:val="18"/>
          <w:szCs w:val="18"/>
          <w:color w:val="auto"/>
        </w:rPr>
        <w:t>”) for the time being in force, conducted in the English language, which rules are deemed to be incorporated by reference in this clause. All disputes shall be heard by a single arbitrator, unless the claim amount exceeds USD $1,000,000 in which case the dispute shall be heard by a panel of three (3) arbitrators. In any action or proceeding to enforce rights under this Agreement, the prevailing party will be entitled to recover costs and attorneys’ fees.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may occur in the event that the provisions of this Agreement were not performed in accordance with their specific terms or were otherwise breached. Accordingly, each Party agrees that, in the event of any breach or threatened breach by any other Party of any covenant or obligation contained in this Agreement, the non-breaching Party shall be entitled (in addition to any other remedy that may be available to it, whether in law or equity) to a decree or order of specific performance to enforce the observance and performance of such covenant or obligation and an injunction restraining such breach or threatened breach.</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No Agency</w:t>
      </w:r>
      <w:r>
        <w:rPr>
          <w:rFonts w:ascii="Times New Roman" w:cs="Times New Roman" w:eastAsia="Times New Roman" w:hAnsi="Times New Roman"/>
          <w:sz w:val="18"/>
          <w:szCs w:val="18"/>
          <w:color w:val="auto"/>
        </w:rPr>
        <w:t>. Nothing in this Agreement shall be deemed in any way or for any purpose to constitute any Party acting as an agent of another unaffiliated Party in the conduct of such other Party’s business. Each Party shall provide Services as an independent contractor and not as the agent of the other Party in performing such Service.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or electronic .pdf submission), each of which shall be deemed an original, and all of which shall constitute one and the same agreement and shall become effective when one or more counterparts have been signed by each of the Parties and delivered (by telecopy or otherwise) to the other Party, it being understood that both Parties need not sign the same counterpart.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 references herein are for convenience purposes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term or other provision of this Agreement, or the application thereof to any Person or any circumstance, is invalid, illegal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illegality or unenforceability, nor shall such invalidity, illegality or unenforceability affect the validity or enforceability of such provision, or the application thereof, in any other jurisdiction.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Mutual Drafting</w:t>
      </w:r>
      <w:r>
        <w:rPr>
          <w:rFonts w:ascii="Times New Roman" w:cs="Times New Roman" w:eastAsia="Times New Roman" w:hAnsi="Times New Roman"/>
          <w:sz w:val="18"/>
          <w:szCs w:val="18"/>
          <w:color w:val="auto"/>
        </w:rPr>
        <w:t>. The Parties are sophisticated and have been represented by lawyers throughout the transactions contemplated hereby who have carefully negotiated the provisions hereof. As a consequence, the Parties do not intend that the presumptions set forth in Laws or rules relating to the interpretation of contracts against the drafter of any particular clause should be applied to this Agreement or any Schedule or Appendix hereto, and therefore, waive their effects.</w:t>
      </w:r>
    </w:p>
    <w:p>
      <w:pPr>
        <w:spacing w:after="0" w:line="176" w:lineRule="exact"/>
        <w:rPr>
          <w:sz w:val="20"/>
          <w:szCs w:val="20"/>
          <w:color w:val="auto"/>
        </w:rPr>
      </w:pPr>
    </w:p>
    <w:p>
      <w:pPr>
        <w:jc w:val="both"/>
        <w:ind w:left="20" w:firstLine="635"/>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and intending to be legally bound, the Parties have executed or caused this Agreement to be executed and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first written above.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Arcturus Therapeutics, Inc.</w:t>
            </w:r>
          </w:p>
        </w:tc>
        <w:tc>
          <w:tcPr>
            <w:tcW w:w="432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Vinbiocare Biotechnology JSC</w:t>
            </w:r>
          </w:p>
        </w:tc>
      </w:tr>
      <w:tr>
        <w:trPr>
          <w:trHeight w:val="391"/>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______________________________</w:t>
            </w:r>
          </w:p>
        </w:tc>
        <w:tc>
          <w:tcPr>
            <w:tcW w:w="4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 ______________________________</w:t>
            </w:r>
          </w:p>
        </w:tc>
      </w:tr>
      <w:tr>
        <w:trPr>
          <w:trHeight w:val="20"/>
        </w:trPr>
        <w:tc>
          <w:tcPr>
            <w:tcW w:w="32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53"/>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____________________________</w:t>
            </w:r>
          </w:p>
        </w:tc>
        <w:tc>
          <w:tcPr>
            <w:tcW w:w="4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Name: ____________________________</w:t>
            </w:r>
          </w:p>
        </w:tc>
      </w:tr>
      <w:tr>
        <w:trPr>
          <w:trHeight w:val="432"/>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_____________________________</w:t>
            </w:r>
          </w:p>
        </w:tc>
        <w:tc>
          <w:tcPr>
            <w:tcW w:w="4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Title: _____________________________</w:t>
            </w:r>
          </w:p>
        </w:tc>
      </w:tr>
    </w:tbl>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4" w:name="page15"/>
    <w:bookmarkEnd w:id="14"/>
    <w:p>
      <w:pPr>
        <w:ind w:left="508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WORKPLAN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execution of the Agreement, VinBiocare (VBC) and Arcturus will undertake to perform the following activities:</w:t>
      </w:r>
    </w:p>
    <w:p>
      <w:pPr>
        <w:spacing w:after="0" w:line="233"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Activities Conducted Through Completion of Study ARCT-154-01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Obligations</w:t>
      </w:r>
    </w:p>
    <w:p>
      <w:pPr>
        <w:spacing w:after="0" w:line="225"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1.1.</w:t>
        <w:tab/>
        <w:t>[***].</w:t>
      </w:r>
    </w:p>
    <w:p>
      <w:pPr>
        <w:spacing w:after="0" w:line="221"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Key Personnel.</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Six Month Data Cut. VBC shall:</w:t>
      </w:r>
    </w:p>
    <w:p>
      <w:pPr>
        <w:spacing w:after="0" w:line="225"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1.1.</w:t>
        <w:tab/>
        <w:t>[***]:</w:t>
      </w:r>
    </w:p>
    <w:p>
      <w:pPr>
        <w:spacing w:after="0" w:line="225" w:lineRule="exact"/>
        <w:rPr>
          <w:sz w:val="20"/>
          <w:szCs w:val="20"/>
          <w:color w:val="auto"/>
        </w:rPr>
      </w:pPr>
    </w:p>
    <w:p>
      <w:pPr>
        <w:ind w:left="1500" w:hanging="455"/>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00" w:hanging="455"/>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3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8" w:right="1440" w:bottom="1440" w:gutter="0" w:footer="0" w:header="0"/>
        </w:sectPr>
      </w:pPr>
    </w:p>
    <w:bookmarkStart w:id="15" w:name="page16"/>
    <w:bookmarkEnd w:id="15"/>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1.5.</w:t>
        <w:tab/>
        <w:t>[***]</w:t>
      </w:r>
    </w:p>
    <w:p>
      <w:pPr>
        <w:spacing w:after="0" w:line="225"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1.6.</w:t>
        <w:tab/>
        <w:t>[***]</w:t>
      </w:r>
    </w:p>
    <w:p>
      <w:pPr>
        <w:spacing w:after="0" w:line="225"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1.7.</w:t>
        <w:tab/>
        <w:t>[***]</w:t>
      </w:r>
    </w:p>
    <w:p>
      <w:pPr>
        <w:spacing w:after="0" w:line="225"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color w:val="auto"/>
        </w:rPr>
        <w:t>1.8.</w:t>
        <w:tab/>
        <w:t>[***]</w:t>
      </w:r>
    </w:p>
    <w:p>
      <w:pPr>
        <w:spacing w:after="0" w:line="221" w:lineRule="exact"/>
        <w:rPr>
          <w:sz w:val="20"/>
          <w:szCs w:val="20"/>
          <w:color w:val="auto"/>
        </w:rPr>
      </w:pPr>
    </w:p>
    <w:p>
      <w:pPr>
        <w:ind w:left="1300" w:right="4639" w:hanging="1292"/>
        <w:spacing w:after="0" w:line="503" w:lineRule="auto"/>
        <w:tabs>
          <w:tab w:leader="none" w:pos="45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Support After Study Completion (From Study Completion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bl>
      <w:tblPr>
        <w:tblLayout w:type="fixed"/>
        <w:tblInd w:w="34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16" w:name="page17"/>
    <w:bookmarkEnd w:id="16"/>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color w:val="auto"/>
        </w:rPr>
        <w:t>Maintain adequate insurance per [***] of [***]</w:t>
      </w:r>
    </w:p>
    <w:p>
      <w:pPr>
        <w:spacing w:after="0" w:line="225" w:lineRule="exact"/>
        <w:rPr>
          <w:sz w:val="20"/>
          <w:szCs w:val="20"/>
          <w:color w:val="auto"/>
        </w:rPr>
      </w:pPr>
    </w:p>
    <w:p>
      <w:pPr>
        <w:ind w:left="340" w:right="9020" w:hanging="332"/>
        <w:spacing w:after="0" w:line="500" w:lineRule="auto"/>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Contracts and Payments </w:t>
      </w:r>
      <w:r>
        <w:rPr>
          <w:rFonts w:ascii="Times New Roman" w:cs="Times New Roman" w:eastAsia="Times New Roman" w:hAnsi="Times New Roman"/>
          <w:sz w:val="18"/>
          <w:szCs w:val="18"/>
          <w:color w:val="auto"/>
        </w:rPr>
        <w:t>3.1. [***]</w:t>
      </w:r>
    </w:p>
    <w:p>
      <w:pPr>
        <w:spacing w:after="0" w:line="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xml:space="preserve"> Arcturus shall pay VBC: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b w:val="1"/>
          <w:bCs w:val="1"/>
          <w:u w:val="single" w:color="auto"/>
          <w:color w:val="auto"/>
        </w:rPr>
        <w:t>Upfront Payment.</w:t>
      </w:r>
      <w:r>
        <w:rPr>
          <w:rFonts w:ascii="Times New Roman" w:cs="Times New Roman" w:eastAsia="Times New Roman" w:hAnsi="Times New Roman"/>
          <w:sz w:val="18"/>
          <w:szCs w:val="18"/>
          <w:color w:val="auto"/>
        </w:rPr>
        <w:t xml:space="preserve"> [***] within [***];</w:t>
      </w:r>
    </w:p>
    <w:p>
      <w:pPr>
        <w:spacing w:after="0" w:line="225" w:lineRule="exact"/>
        <w:rPr>
          <w:sz w:val="20"/>
          <w:szCs w:val="20"/>
          <w:color w:val="auto"/>
        </w:rPr>
      </w:pPr>
    </w:p>
    <w:p>
      <w:pPr>
        <w:ind w:left="1100" w:hanging="444"/>
        <w:spacing w:after="0" w:line="28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b w:val="1"/>
          <w:bCs w:val="1"/>
          <w:color w:val="auto"/>
        </w:rPr>
        <w:t>Support Payment.</w:t>
      </w:r>
      <w:r>
        <w:rPr>
          <w:rFonts w:ascii="Times New Roman" w:cs="Times New Roman" w:eastAsia="Times New Roman" w:hAnsi="Times New Roman"/>
          <w:sz w:val="18"/>
          <w:szCs w:val="18"/>
          <w:color w:val="auto"/>
        </w:rPr>
        <w:t xml:space="preserve"> In support of [***] provided hereunder through December 31, 2024, Arcturus shall pay [***]of [***] per [***] , with [***] of [***]per the payment schedule below:</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Number</w:t>
            </w:r>
          </w:p>
        </w:tc>
        <w:tc>
          <w:tcPr>
            <w:tcW w:w="34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Payment Amount (USD)</w:t>
            </w:r>
          </w:p>
        </w:tc>
      </w:tr>
      <w:tr>
        <w:trPr>
          <w:trHeight w:val="209"/>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3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b w:val="1"/>
          <w:bCs w:val="1"/>
          <w:color w:val="auto"/>
        </w:rPr>
        <w:t>Study Completion Payment.</w:t>
      </w:r>
      <w:r>
        <w:rPr>
          <w:rFonts w:ascii="Times New Roman" w:cs="Times New Roman" w:eastAsia="Times New Roman" w:hAnsi="Times New Roman"/>
          <w:sz w:val="18"/>
          <w:szCs w:val="18"/>
          <w:color w:val="auto"/>
        </w:rPr>
        <w:t xml:space="preserve"> [***] upon [***].</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b w:val="1"/>
          <w:bCs w:val="1"/>
          <w:color w:val="auto"/>
        </w:rPr>
        <w:t>Early Termination Payment</w:t>
      </w:r>
      <w:r>
        <w:rPr>
          <w:rFonts w:ascii="Times New Roman" w:cs="Times New Roman" w:eastAsia="Times New Roman" w:hAnsi="Times New Roman"/>
          <w:sz w:val="18"/>
          <w:szCs w:val="18"/>
          <w:color w:val="auto"/>
        </w:rPr>
        <w:t>. [***] (i) [***] and (ii)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Service Completion Milestone Payments.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3.3.1. [***].</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3.3.2. [***]</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3.3.3. [***]</w:t>
      </w:r>
    </w:p>
    <w:p>
      <w:pPr>
        <w:spacing w:after="0" w:line="22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 xml:space="preserve">Service Commission.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A-4</w:t>
      </w:r>
    </w:p>
    <w:sectPr>
      <w:pgSz w:w="11900" w:h="16838" w:orient="portrait"/>
      <w:cols w:equalWidth="0" w:num="1">
        <w:col w:w="9799"/>
      </w:cols>
      <w:pgMar w:left="660" w:top="7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2"/>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
      <w:numFmt w:val="bullet"/>
      <w:start w:val="1"/>
    </w:lvl>
    <w:lvl w:ilvl="1">
      <w:lvlJc w:val="left"/>
      <w:lvlText w:val="(%2)"/>
      <w:numFmt w:val="lowerLetter"/>
      <w:start w:val="5"/>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2"/>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lvl w:ilvl="1">
      <w:lvlJc w:val="left"/>
      <w:lvlText w:val="(%2)"/>
      <w:numFmt w:val="lowerLetter"/>
      <w:start w:val="1"/>
    </w:lvl>
  </w:abstractNum>
  <w:abstractNum w:abstractNumId="15">
    <w:nsid w:val="628C895D"/>
    <w:multiLevelType w:val="hybridMultilevel"/>
    <w:lvl w:ilvl="0">
      <w:lvlJc w:val="left"/>
      <w:lvlText w:val="[***]"/>
      <w:numFmt w:val="bullet"/>
      <w:start w:val="1"/>
    </w:lvl>
    <w:lvl w:ilvl="1">
      <w:lvlJc w:val="left"/>
      <w:lvlText w:val="(%2)"/>
      <w:numFmt w:val="lowerLetter"/>
      <w:start w:val="3"/>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30"/>
    </w:lvl>
    <w:lvl w:ilvl="1">
      <w:lvlJc w:val="left"/>
      <w:lvlText w:val="%2"/>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2"/>
    </w:lvl>
  </w:abstractNum>
  <w:abstractNum w:abstractNumId="25">
    <w:nsid w:val="B03E0C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2022-11-04T17:20:05Z</dcterms:created>
  <dcterms:modified xsi:type="dcterms:W3CDTF">2022-11-04T17:20:05Z</dcterms:modified>
</cp:coreProperties>
</file>