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17,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414"/>
        </w:trPr>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Symbol(s)</w:t>
            </w:r>
          </w:p>
        </w:tc>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0" w:type="dxa"/>
            <w:vAlign w:val="bottom"/>
          </w:tcPr>
          <w:p>
            <w:pPr>
              <w:spacing w:after="0"/>
              <w:rPr>
                <w:sz w:val="19"/>
                <w:szCs w:val="19"/>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220" w:type="dxa"/>
            <w:vAlign w:val="bottom"/>
          </w:tcPr>
          <w:p>
            <w:pPr>
              <w:spacing w:after="0"/>
              <w:rPr>
                <w:sz w:val="19"/>
                <w:szCs w:val="19"/>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August 17, 2020, a wholly owned subsidiary of Arcturus Therapeutics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definitive Supply Agreement (the “</w:t>
      </w:r>
      <w:r>
        <w:rPr>
          <w:rFonts w:ascii="Arial" w:cs="Arial" w:eastAsia="Arial" w:hAnsi="Arial"/>
          <w:sz w:val="18"/>
          <w:szCs w:val="18"/>
          <w:u w:val="single" w:color="auto"/>
          <w:color w:val="auto"/>
        </w:rPr>
        <w:t>Supply Agreement</w:t>
      </w:r>
      <w:r>
        <w:rPr>
          <w:rFonts w:ascii="Arial" w:cs="Arial" w:eastAsia="Arial" w:hAnsi="Arial"/>
          <w:sz w:val="18"/>
          <w:szCs w:val="18"/>
          <w:color w:val="auto"/>
        </w:rPr>
        <w:t>”) with the Israeli Ministry of Health (“</w:t>
      </w:r>
      <w:r>
        <w:rPr>
          <w:rFonts w:ascii="Arial" w:cs="Arial" w:eastAsia="Arial" w:hAnsi="Arial"/>
          <w:sz w:val="18"/>
          <w:szCs w:val="18"/>
          <w:u w:val="single" w:color="auto"/>
          <w:color w:val="auto"/>
        </w:rPr>
        <w:t>MOH</w:t>
      </w:r>
      <w:r>
        <w:rPr>
          <w:rFonts w:ascii="Arial" w:cs="Arial" w:eastAsia="Arial" w:hAnsi="Arial"/>
          <w:sz w:val="18"/>
          <w:szCs w:val="18"/>
          <w:color w:val="auto"/>
        </w:rPr>
        <w:t>”) which provides for the supply of the Company’s COVID-19 vaccine candidate (LUNAR-COV19) to the MOH.</w:t>
      </w:r>
    </w:p>
    <w:p>
      <w:pPr>
        <w:spacing w:after="0" w:line="18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Subject to its terms and conditions, the Supply Agreement provides for delivery by the Company of an initial one million doses of LUNAR-COV19 to the MOH, subject to a 50% reduction by the MOH prior to December 1, 2020 (the “</w:t>
      </w:r>
      <w:r>
        <w:rPr>
          <w:rFonts w:ascii="Arial" w:cs="Arial" w:eastAsia="Arial" w:hAnsi="Arial"/>
          <w:sz w:val="18"/>
          <w:szCs w:val="18"/>
          <w:u w:val="single" w:color="auto"/>
          <w:color w:val="auto"/>
        </w:rPr>
        <w:t>Initial Reserve Doses</w:t>
      </w:r>
      <w:r>
        <w:rPr>
          <w:rFonts w:ascii="Arial" w:cs="Arial" w:eastAsia="Arial" w:hAnsi="Arial"/>
          <w:sz w:val="18"/>
          <w:szCs w:val="18"/>
          <w:color w:val="auto"/>
        </w:rPr>
        <w:t>”). The Initial Reserve Doses will be increased by a specified number if the ultimate approved dosage is below an identified microgram size per dose. The Supply Agreement also provides the MOH with the right to elect, in its discretion, to purchase additional doses of LUNAR-COV19 upon notice to the Company prior to a specified date for a specified purchase price (the “</w:t>
      </w:r>
      <w:r>
        <w:rPr>
          <w:rFonts w:ascii="Arial" w:cs="Arial" w:eastAsia="Arial" w:hAnsi="Arial"/>
          <w:sz w:val="18"/>
          <w:szCs w:val="18"/>
          <w:u w:val="single" w:color="auto"/>
          <w:color w:val="auto"/>
        </w:rPr>
        <w:t>Additional Reserve Doses</w:t>
      </w:r>
      <w:r>
        <w:rPr>
          <w:rFonts w:ascii="Arial" w:cs="Arial" w:eastAsia="Arial" w:hAnsi="Arial"/>
          <w:sz w:val="18"/>
          <w:szCs w:val="18"/>
          <w:color w:val="auto"/>
        </w:rPr>
        <w:t>”) and additional doses upon notice to the Company prior to a specified date for a specified purchase price (the “</w:t>
      </w:r>
      <w:r>
        <w:rPr>
          <w:rFonts w:ascii="Arial" w:cs="Arial" w:eastAsia="Arial" w:hAnsi="Arial"/>
          <w:sz w:val="18"/>
          <w:szCs w:val="18"/>
          <w:u w:val="single" w:color="auto"/>
          <w:color w:val="auto"/>
        </w:rPr>
        <w:t>Stockpiling Doses</w:t>
      </w:r>
      <w:r>
        <w:rPr>
          <w:rFonts w:ascii="Arial" w:cs="Arial" w:eastAsia="Arial" w:hAnsi="Arial"/>
          <w:sz w:val="18"/>
          <w:szCs w:val="18"/>
          <w:color w:val="auto"/>
        </w:rPr>
        <w:t>”, and together with the Initial Reserve Doses and the Additional Reserve Doses, the “</w:t>
      </w:r>
      <w:r>
        <w:rPr>
          <w:rFonts w:ascii="Arial" w:cs="Arial" w:eastAsia="Arial" w:hAnsi="Arial"/>
          <w:sz w:val="18"/>
          <w:szCs w:val="18"/>
          <w:u w:val="single" w:color="auto"/>
          <w:color w:val="auto"/>
        </w:rPr>
        <w:t>Total Doses</w:t>
      </w:r>
      <w:r>
        <w:rPr>
          <w:rFonts w:ascii="Arial" w:cs="Arial" w:eastAsia="Arial" w:hAnsi="Arial"/>
          <w:sz w:val="18"/>
          <w:szCs w:val="18"/>
          <w:color w:val="auto"/>
        </w:rPr>
        <w:t>”). Each purchased dose will consist of one ready filled dose if regulatory approval is obtained for a single dose and two ready filled doses if regulatory approval is obtained for two doses within a thirty day period.</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the terms of the Supply Agreement, the MOH has a limited right to terminate the Supply Agreement, in its discretion, without any further obligation to the Company during a ten day period that will commence after the Company commences dosing in the first expansion cohort of its existing Phase 1/2 clinical trial of LUNAR-COV19, which is currently being conducted in Singapore. An initial deposit of 12.5% of the purchase price for the Initial Reserve Doses will be due and payable after the expiration of this one-time termination right. The Supply Agreement also provides that the Company is obligated to use commercially reasonable efforts to obtain certain specified regulatory approvals which are necessary for the sale and supply of LUNAR-COV19 in the State of Israel and provides the MOH with the right to terminate the Supply Agreement if such approvals are not obtained prior to December 31, 2021.</w:t>
      </w:r>
    </w:p>
    <w:p>
      <w:pPr>
        <w:spacing w:after="0" w:line="19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Supply Agreement provides that the total purchase price to be paid by the MOH, if the MOH elects to purchase the maximum number of Total Doses currently specified in the Supply Agreement, will range between $250 million and $275 million, with the exact price tied to when the Company obtains the required regulatory approvals. The Supply Agreement provides for a down payment to be paid by the MOH, which ranges between 12.5% and 20% of the purchase price, for each of the Total Doses that it purchases and for the release of final payment from an escrow account upon completion of the delivery of the applicable doses after the Company obtains the required regulatory approvals.</w:t>
      </w:r>
    </w:p>
    <w:p>
      <w:pPr>
        <w:spacing w:after="0" w:line="1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result of the entry into the Supply Agreement, the MOH has secured the right to receive the maximum number of Total Doses currently specified in the Supply Agreement before any third party other than Singapore, subject to certain terms and conditions.</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foregoing description of the material terms of the Supply Agreement does not purport to be complete and is qualified in its entirety by reference to the Supply Agreement, which will be filed with the Securities and Exchange Commission as an exhibit to the Company’s Quarterly Report on Form 10-Q for the quarter ended September 30, 2020.</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r>
        <w:rPr>
          <w:rFonts w:ascii="Arial" w:cs="Arial" w:eastAsia="Arial" w:hAnsi="Arial"/>
          <w:sz w:val="16"/>
          <w:szCs w:val="16"/>
          <w:color w:val="auto"/>
        </w:rPr>
        <w:t>.</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August 18, 2020, the Company issued a press release announcing its entry into the Supply Agreement, a copy of which is furnished as Exhibit 99.1 to this Current Report on Form 8-K.</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in this Item 7.01 to this Current Report on Form 8-K, and in Exhibit 99.1 furnished herewith, shall not be deemed to be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6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i w:val="1"/>
                <w:iCs w:val="1"/>
                <w:color w:val="auto"/>
              </w:rPr>
              <w:t>(d) Exhibits.</w:t>
            </w:r>
          </w:p>
        </w:tc>
        <w:tc>
          <w:tcPr>
            <w:tcW w:w="1016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160" w:type="dxa"/>
            <w:vAlign w:val="bottom"/>
          </w:tcPr>
          <w:p>
            <w:pPr>
              <w:ind w:left="180"/>
              <w:spacing w:after="0"/>
              <w:rPr>
                <w:sz w:val="20"/>
                <w:szCs w:val="20"/>
                <w:color w:val="auto"/>
              </w:rPr>
            </w:pPr>
            <w:r>
              <w:rPr>
                <w:rFonts w:ascii="Arial" w:cs="Arial" w:eastAsia="Arial" w:hAnsi="Arial"/>
                <w:sz w:val="18"/>
                <w:szCs w:val="18"/>
                <w:b w:val="1"/>
                <w:bCs w:val="1"/>
                <w:color w:val="auto"/>
              </w:rPr>
              <w:t>Description of Exhibit</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dated August 18. 2020.</w:t>
              </w:r>
            </w:hyperlink>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0160" w:type="dxa"/>
            <w:vAlign w:val="bottom"/>
          </w:tcPr>
          <w:p>
            <w:pPr>
              <w:ind w:left="180"/>
              <w:spacing w:after="0"/>
              <w:rPr>
                <w:sz w:val="20"/>
                <w:szCs w:val="20"/>
                <w:color w:val="auto"/>
              </w:rPr>
            </w:pPr>
            <w:r>
              <w:rPr>
                <w:rFonts w:ascii="Arial" w:cs="Arial" w:eastAsia="Arial" w:hAnsi="Arial"/>
                <w:sz w:val="18"/>
                <w:szCs w:val="18"/>
                <w:color w:val="auto"/>
              </w:rPr>
              <w:t>Cover Page to this Current Report on Form 8-K in Inline XBRL</w:t>
            </w:r>
          </w:p>
        </w:tc>
      </w:tr>
      <w:tr>
        <w:trPr>
          <w:trHeight w:val="331"/>
        </w:trPr>
        <w:tc>
          <w:tcPr>
            <w:tcW w:w="108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2020</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37"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32"/>
          <w:szCs w:val="32"/>
          <w:color w:val="auto"/>
        </w:rPr>
        <w:t>Arcturus Therapeutics Executes Definitive Supply Agreement</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32"/>
          <w:szCs w:val="32"/>
          <w:color w:val="auto"/>
        </w:rPr>
        <w:t>with the Israeli Ministry of Health</w:t>
      </w:r>
    </w:p>
    <w:p>
      <w:pPr>
        <w:spacing w:after="0" w:line="3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SAN DIEGO, Aug. 18, 2020 (GLOBE NEWSWIRE) -- Arcturus Therapeutics Holdings Inc. (the “Company”, “Arcturus”, Nasdaq: ARCT), a leading clinical-stage messenger RNA medicines company focused on the development of infectious disease vaccines and significant opportunities within liver and respiratory rare diseases, today announced that it has executed the definitive supply agreement provided for in the previously announced binding term sheet agreement with the Israeli Ministry of Health, to supply COVID-19 STARR™ mRNA vaccine candidate (ARCT-021). Delivery to Israel of doses of Arcturus’ COVID-19 vaccine candidate is contingent upon achievement of near term clinical and regulatory milestones.</w:t>
      </w:r>
    </w:p>
    <w:p>
      <w:pPr>
        <w:spacing w:after="0" w:line="176"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“We are pleased to have executed the definitive supply agreement with the Israeli Ministry of Health. Arcturus is honored to play a key role in Israel’s COVID-19 vaccination strategy. As indicated in a recent press conference on July 23</w:t>
      </w:r>
      <w:r>
        <w:rPr>
          <w:rFonts w:ascii="Arial" w:cs="Arial" w:eastAsia="Arial" w:hAnsi="Arial"/>
          <w:sz w:val="28"/>
          <w:szCs w:val="28"/>
          <w:color w:val="auto"/>
          <w:vertAlign w:val="superscript"/>
        </w:rPr>
        <w:t>rd</w:t>
      </w:r>
      <w:r>
        <w:rPr>
          <w:rFonts w:ascii="Arial" w:cs="Arial" w:eastAsia="Arial" w:hAnsi="Arial"/>
          <w:sz w:val="17"/>
          <w:szCs w:val="17"/>
          <w:color w:val="auto"/>
        </w:rPr>
        <w:t>, led by Prime Minister Netanyahu, this is considered a significant deal to the government of Israel, providing them rights and access to ARCT-021 and a path to potentially vaccinate a substantial portion of their citizens against coronavirus,” said Joseph Payne, President &amp; CEO of Arcturus. “We value the Israeli Ministry of Health’s commitment to our differentiating STARR™ mRNA vaccine candidate and we look forward to advancing the development of ARCT-021.”</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Israel is the second country, in addition to Singapore, to reserve supply of the ARCT-021 vaccine. Arcturus is in active discussions with certain government entities in major markets and other parts of the world. With the Company’s manufacturing partners, Arcturus is in the process of manufacturing millions of doses in 2020 and positioned to supply hundreds of millions of doses annually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about rights and access to Arcturus’ COVID-19 vaccine candidate, ARCT-021, please contact Arcturus at </w:t>
      </w:r>
      <w:r>
        <w:rPr>
          <w:rFonts w:ascii="Arial" w:cs="Arial" w:eastAsia="Arial" w:hAnsi="Arial"/>
          <w:sz w:val="16"/>
          <w:szCs w:val="16"/>
          <w:color w:val="0000FF"/>
        </w:rPr>
        <w:t>Vax@ArcturusRx.com</w:t>
      </w:r>
      <w:r>
        <w:rPr>
          <w:rFonts w:ascii="Arial" w:cs="Arial" w:eastAsia="Arial" w:hAnsi="Arial"/>
          <w:sz w:val="16"/>
          <w:szCs w:val="16"/>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STARR™ Technology</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The STARR™ Technology platform combines self-replicating RNA with LUNAR</w:t>
      </w:r>
      <w:r>
        <w:rPr>
          <w:rFonts w:ascii="Arial" w:cs="Arial" w:eastAsia="Arial" w:hAnsi="Arial"/>
          <w:sz w:val="26"/>
          <w:szCs w:val="26"/>
          <w:color w:val="auto"/>
          <w:vertAlign w:val="superscript"/>
        </w:rPr>
        <w:t>®</w:t>
      </w:r>
      <w:r>
        <w:rPr>
          <w:rFonts w:ascii="Arial" w:cs="Arial" w:eastAsia="Arial" w:hAnsi="Arial"/>
          <w:sz w:val="16"/>
          <w:szCs w:val="16"/>
          <w:color w:val="auto"/>
        </w:rPr>
        <w:t>, a leading nanoparticle delivery system, into a single solution to produce proteins inside the human body. The versatility of the STARR™ Technology affords its ability upon delivery into the cell to generate a protective immune response or drive therapeutic protein expression to potentially prevent against or treat a variety of diseases. The self-replicating RNA-based therapeutic vaccine triggers rapid and prolonged antigen expression within host cells resulting in protective immunity against infectious pathogens. This</w:t>
      </w:r>
    </w:p>
    <w:p>
      <w:pPr>
        <w:ind w:right="500"/>
        <w:spacing w:after="0" w:line="234" w:lineRule="auto"/>
        <w:rPr>
          <w:sz w:val="20"/>
          <w:szCs w:val="20"/>
          <w:color w:val="auto"/>
        </w:rPr>
      </w:pPr>
      <w:r>
        <w:rPr>
          <w:rFonts w:ascii="Arial" w:cs="Arial" w:eastAsia="Arial" w:hAnsi="Arial"/>
          <w:sz w:val="16"/>
          <w:szCs w:val="16"/>
          <w:color w:val="auto"/>
        </w:rPr>
        <w:t>combination of the LUNAR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STARR™ technology is expected to provide lower dose requirements due to superior immune response, sustained protein expression compared to non-self-replicating RNA-based vaccines and potentially enable us to produce vaccines more quickly and simply.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49"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Founded in 2013 and based in San Diego, California, Arcturus Therapeutics Holdings Inc. (Nasdaq: ARCT) is a clinical-stage mRNA medicines and vaccines company with enabling technologies: (i) LUNAR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lipid-mediated delivery, (ii) STARR™ mRNA Technology and (iii) mRNA drug substance along with drug product manufacturing expertise. Arcturus’ diverse pipeline of RNA therapeutic and vaccine candidates includes self-replicating mRNA vaccine programs for SARS-CoV-2 (COVID-19) and Influenza, and other programs to potentially treat Ornithine Transcarbamylase (OTC) Deficiency, Cystic Fibrosis, Cardiovascular Disease along with partnered programs including Glycogen Storage Disease Type 3, Hepatitis B Virus,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(192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and the Cystic Fibrosis Foundation. For more information visit </w:t>
      </w:r>
      <w:r>
        <w:rPr>
          <w:rFonts w:ascii="Arial" w:cs="Arial" w:eastAsia="Arial" w:hAnsi="Arial"/>
          <w:sz w:val="16"/>
          <w:szCs w:val="16"/>
          <w:color w:val="0000FF"/>
        </w:rPr>
        <w:t>www.ArcturusRx.com</w:t>
      </w:r>
      <w:r>
        <w:rPr>
          <w:rFonts w:ascii="Arial" w:cs="Arial" w:eastAsia="Arial" w:hAnsi="Arial"/>
          <w:sz w:val="16"/>
          <w:szCs w:val="16"/>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including those regarding the Company’s efforts to develop a vaccine against COVID-19, and therapeutic potential thereof, based on the Company’s mRNA therapeutics, the ability of the Company to scale up manufacturing of vaccine doses, regulatory approval of the vaccine against COVID-19, the potential supply of the vaccine to government entities in major markets and other parts of the world and the impact of general business and economic conditions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2019, filed with the SEC on March 16, 2020 and in subsequent filings with, or submissions to, the SEC. No assurances can be given that any results reported in pre-clinical studies can be replicated in further studies or in human beings, or that a vaccine can or will ever be developed or approved using the Company’s technology. A more fulsome description of the definitive supply agreement will be included with the current report on Form 8-K to be filed by the Company with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0000FF"/>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Kendall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914-0008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0000FF"/>
        </w:rPr>
        <w:t>ctanzi@kendallir.com</w:t>
      </w:r>
    </w:p>
    <w:sectPr>
      <w:pgSz w:w="11900" w:h="16838" w:orient="portrait"/>
      <w:cols w:equalWidth="0" w:num="1">
        <w:col w:w="11180"/>
      </w:cols>
      <w:pgMar w:left="320" w:top="70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58"/>
    </w:lvl>
  </w:abstractNum>
  <w:abstractNum w:abstractNumId="2">
    <w:nsid w:val="19495CFF"/>
    <w:multiLevelType w:val="hybridMultilevel"/>
    <w:lvl w:ilvl="0">
      <w:lvlJc w:val="left"/>
      <w:lvlText w:val="(%1)"/>
      <w:numFmt w:val="decimal"/>
      <w:start w:val="61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2020-08-18T15:02:32Z</dcterms:created>
  <dcterms:modified xsi:type="dcterms:W3CDTF">2020-08-18T15:02:32Z</dcterms:modified>
</cp:coreProperties>
</file>