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5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ARCT</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August 5, 2024, Arcturus Therapeutics Holdings Inc. (the “Company” or “Arcturus”) issued a press release, a copy of which is furnished herewith as Exhibit 99.1, announcing the Company’s financial results for the quarter ended June 30, 2024 and providing a corporate update (the “Press Release”).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Press Release, are forward-looking statements, including those regarding strategy, future operations, the likelihood of success and continued advancement of the Company’s pipeline (including ARCT-032 and ARCT-810) and partnered programs (including the COVID-19 and flu programs partnered with CSL Seqirus), the likelihood of commercialization of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timing thereof, the continued clinical development of the rare disease programs, the planned completion of the European Phase 2 ARCT-810 Phase 2 study and availability of interim data from the study, the likelihood and timing of a European Marketing Authorization application approval decision for Kostaive® , the anticipated enrollment in the Phase 2 clinical program for ARCT-810, that preclinical or clinical data will be predictive of future clinical results, the likelihood and timing of clinical study updates, the likelihood or timing of collection of accounts receivables including expected future milestone and other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6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August 5, 2024</w:t>
            </w:r>
          </w:p>
        </w:tc>
      </w:tr>
      <w:tr>
        <w:trPr>
          <w:trHeight w:val="20"/>
        </w:trPr>
        <w:tc>
          <w:tcPr>
            <w:tcW w:w="9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Second Quarter 2024 Financial Update and Pipeline Progress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IND submitted for Phase 2 trial of ARCT-032 targeting cystic fibrosis (CF)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ARCT-810 (OTC deficiency) Phase 2 interim data on track for Q4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Kostaive® on track for Q4 commercial launch in Japan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ET today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WIRE)--August. 5, 2024-- Arcturus Therapeutics Holdings Inc. (the “Company”, “Arcturus”, Nasdaq: ARCT), a global messenger RNA medicines company focused on the development of infectious disease vaccines and addressing unmet medical needs within liver and respiratory rare diseases, today announced its financial results for the second quarter ended June 30, 2024, and provided corporate updates.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remain on track for our first commercial product launch of Kostaive® in Japan later this year,” said Joseph Payne, President &amp; CEO of Arcturus Therapeutics. “We are also encouraged by the clinical progress of our mRNA therapeutics pipeline, especially the collection of meaningful safety data for CF and OTC deficiency candidates, ARCT-032 and ARCT-810.”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safety data of ARCT-032 and ARCT-810 support continuing clinical development of these rare disease programs,” said Dr. Juergen Froehlich, Chief Medical Officer of Arcturus Therapeutics. “The planned ARCT-032 Phase 2 study advances our efforts to provide a potential treatment for CF patients who have genotypes making them ineligible for modulator treatment and the additional CF population who are eligible but are not prescribed modulators.”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Froehlich added: “We are also pleased to report that the dosing phase in our European Phase 2 ARCT-810 study is near completion with interim data to be available in Q4. The additional Phase 2 study in the United States has initiated and is designed to expand our OTC deficiency program into more severe and younger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31" w:lineRule="exact"/>
        <w:rPr>
          <w:sz w:val="20"/>
          <w:szCs w:val="20"/>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the Company submitted an IND application for a Phase 2 multiple ascending dose study to evaluate the safety, tolerability and efficacy of ARCT-032 in subjects with cystic fibrosis (CF). The planned Phase 2 study intends to recruit CF patients who are ineligible for CFTR modulator treatment and additional CF subjects who are eligible but are not prescribed modulators.</w:t>
      </w:r>
    </w:p>
    <w:p>
      <w:pPr>
        <w:spacing w:after="0" w:line="1" w:lineRule="exact"/>
        <w:rPr>
          <w:rFonts w:ascii="Times New Roman" w:cs="Times New Roman" w:eastAsia="Times New Roman" w:hAnsi="Times New Roman"/>
          <w:sz w:val="18"/>
          <w:szCs w:val="18"/>
          <w:color w:val="auto"/>
        </w:rPr>
      </w:pPr>
    </w:p>
    <w:p>
      <w:pPr>
        <w:ind w:left="660" w:hanging="328"/>
        <w:spacing w:after="0" w:line="192" w:lineRule="auto"/>
        <w:tabs>
          <w:tab w:leader="none" w:pos="66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In June, Arcturus presented Phase 1 interim data of ARCT-032 at the 47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Annual European Cystic Fibrosis Conference.</w:t>
      </w:r>
    </w:p>
    <w:p>
      <w:pPr>
        <w:spacing w:after="0" w:line="1" w:lineRule="exact"/>
        <w:rPr>
          <w:sz w:val="20"/>
          <w:szCs w:val="20"/>
          <w:color w:val="auto"/>
        </w:rPr>
      </w:pPr>
    </w:p>
    <w:p>
      <w:pPr>
        <w:jc w:val="both"/>
        <w:ind w:left="1300" w:right="20" w:hanging="320"/>
        <w:spacing w:after="0" w:line="249"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ARCT-032 administration was generally safe and well tolerated with no serious or severe adverse events in healthy volunteers (N = 32) and the first four dosed participants with CF in Phase 1b, of which one had two Class I mutations and the other three had F508del mutations and were being treated with Trikafta®.</w:t>
      </w:r>
    </w:p>
    <w:p>
      <w:pPr>
        <w:spacing w:after="0" w:line="2"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the Company announced that the double blind ARCT-810 Phase 2 study in the EU and UK completed enrollment of eight (8) participants with ornithine transcarbamylase (OTC) deficiency, including adolescents and adults, at the 0.3 mg/kg dose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access younger patients with more serious disease, the Company expanded the Phase 2 clinical program of ARCT-810 into the United States. Patient screening has been initiated and the Company expects the Phase 2 clinical program enrollment to be completed in the United States.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the Company announced the publication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of pivotal data from a Phase 3 efficacy, immunogenicity and safety study of Kostaive®.</w:t>
      </w: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results demonstrate that 2-dose primary vaccination (5 µg dose) of Kostaive® (sa-mRNA vaccine) were well-tolerated and immunogenic, and provided significant protection against COVID-19 disease. The efficacy of Kostaive® against severe COVID-19 was 100 percent in healthy persons aged 18-59 and more than 90 percent in persons at risk of severe consequences of the disease due to co-morbidities or older age.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Meiji initiated a partial change application to Japan’s PMDA to support the use of the updated Kostaive® JN.1 COVID-19 vaccine for the upcoming 2024/2025 season.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Kostaive® European Medicine Agency (EMA) review is ongoing as planned.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for the ARCT-2303 (Omicron XBB.1.5 variant version of Kostaive®) Phase 3 study is complete. The purpose of this Phase 3 study is to generate additional immunogenicity and safety data in multiple ethnicities to support regulatory filings globally.</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is on track to initiate a Phase 1 H5N1 pandemic flu study in Q4. The clinical study is funded by BARDA and designed to enroll approximately 200 healthy adults in the United States. This vaccine, named ARCT-2304, utilizes the Company’s proprietary STARR® self-amplifying mRNA and LUNAR® delivery technologies.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the Company announced the appointment of a new independent director, Moncef Slaoui, Ph.D., to its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ended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in conjunction with strategic alliances and collaborations: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Arcturus’ primary revenue streams include license fees, consulting and related technology transfer fees, reservation fees and collaborative payments received from research and development arrangements with pharmaceutical and biotechnology partners. For the three months ended June 30, 2024, we reported revenue of $49.9 million, a significant increase of $39.4 million from the $10.5 million reported in the same period in 2023. The increase was primarily due to the CSL agreement during the second quarter of 2024. This increase in CSL revenue recognized was driven by the recognition of Kostaive® manufacturing activities and clinical trial expenses. Additionally, revenue related to the BARDA agreement increased due to advancements in the pandemic flu program.</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by $2.9 million during the six months ended June 30, 2024, as compared to the same period in 2023. The decrease was primarily due to lower CSL revenue resulting from the timing and value of milestone achievements. The overall decrease was offset by higher BARDA revenue due to increased progress of the pandemic flu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operating expenses for the three months ended June 30, 2024, were $71.0 million compared with $65.9 million for the three months ended June 30, 2023. Total operating expenses for the six months ended June 30, 2024, were $139.4 million compared with $131.4 million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Research and development expenses consist primarily of external manufacturing costs,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$58.7 million for the three months ended June 30, 2024, compared with $52.7 million for the three months ended June 30, 2023. Research and development expenses were $112.2 million for the six months ended June 30, 2024, compared with $104.4 million for the three months ended June 30, 2023. The increases in research and development expenses were primarily driven by higher clinical and manufacturing expenses. Additionally, investments increased in early stage and discovery technologies, including the initiation of preclinical research related to its Gonorrhea and Lyme disease vaccine discovery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executive, administrative, legal and accounting functions and professional service fees for legal and accounting services as well as other general and administrative expenses. General and administrative expenses were $12.3 million and $27.2 million for the three and six months ended June 30, 2024, respectively, compared with $13.2 million and $27.0 million in the comparable periods last year. These expenses remained relatively consistent between the two periods. The Company does not expect that general and administrative expenses will increase on a yearly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2024, Arcturus reported a net loss of approximately $17.2 million, or ($0.64) per diluted share, compared with a net loss of $52.6 million, or ($1.98) per diluted share in the three months ended June 30, 2023. For the six months ended June 30, 2024, Arcturus reported a net loss of approximately $44.0 million, or ($1.64) per diluted share, compared with a net loss of $1.8 million, or ($0.07) per diluted share in the six months ended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 and Balance Sheet: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cash equivalents and restricted cash were $317.2 million as of June 30, 2024, and $348.9 million on December 31, 2023. Arcturus achieved a total of approximately $437.1 million in upfront payments and milestones from CSL as of June 30, 2024, and expects to continue to receive future milestone payments from CSL supporting the ongoing development of the COVID and flu programs and three additional vaccine programs by CSL. The expected cash runway extends approximately three years based on the current pipeline and programs through the first quarter of fiscal year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Arcturus Therapeutics Second Quarter 2024 Earnings Conference Call</w:t>
      </w:r>
    </w:p>
    <w:p>
      <w:pPr>
        <w:spacing w:after="0" w:line="3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Monday, August 5, 2024 @ 4:30 p.m. ET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1-877-407-0784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1-201-689-8560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13747924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Webcast: </w:t>
      </w:r>
      <w:r>
        <w:rPr>
          <w:rFonts w:ascii="Times New Roman" w:cs="Times New Roman" w:eastAsia="Times New Roman" w:hAnsi="Times New Roman"/>
          <w:sz w:val="18"/>
          <w:szCs w:val="18"/>
          <w:color w:val="0000FF"/>
        </w:rPr>
        <w:t>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Founded in 2013 and based in San Diego, California, Arcturus Therapeutics Holdings Inc. (Nasdaq: ARCT) is a global mRNA medicines and vaccines company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400 patents and patent applications in the U.S., Europe, Japan, China, and other countries). For more information, visit </w:t>
      </w:r>
      <w:r>
        <w:rPr>
          <w:rFonts w:ascii="Times New Roman" w:cs="Times New Roman" w:eastAsia="Times New Roman" w:hAnsi="Times New Roman"/>
          <w:sz w:val="18"/>
          <w:szCs w:val="18"/>
          <w:color w:val="0000FF"/>
        </w:rPr>
        <w:t>www.ArcturusRx.com</w:t>
      </w:r>
      <w:r>
        <w:rPr>
          <w:rFonts w:ascii="Times New Roman" w:cs="Times New Roman" w:eastAsia="Times New Roman" w:hAnsi="Times New Roman"/>
          <w:sz w:val="18"/>
          <w:szCs w:val="18"/>
          <w:color w:val="auto"/>
        </w:rPr>
        <w:t xml:space="preserve">. In addition, please connect with us on </w:t>
      </w:r>
      <w:r>
        <w:rPr>
          <w:rFonts w:ascii="Times New Roman" w:cs="Times New Roman" w:eastAsia="Times New Roman" w:hAnsi="Times New Roman"/>
          <w:sz w:val="18"/>
          <w:szCs w:val="18"/>
          <w:color w:val="0000FF"/>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LinkedIn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333333"/>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and continued advancement of the Company’s pipeline (including ARCT-032 and ARCT-810) and partnered programs (including the COVID-19 and flu programs partnered with CSL Seqirus), the likelihood of</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333333"/>
        </w:rPr>
        <w:t>commercialization of Kostaive</w:t>
      </w:r>
      <w:r>
        <w:rPr>
          <w:rFonts w:ascii="Times New Roman" w:cs="Times New Roman" w:eastAsia="Times New Roman" w:hAnsi="Times New Roman"/>
          <w:sz w:val="29"/>
          <w:szCs w:val="29"/>
          <w:i w:val="1"/>
          <w:iCs w:val="1"/>
          <w:color w:val="333333"/>
          <w:vertAlign w:val="superscript"/>
        </w:rPr>
        <w:t>®</w:t>
      </w:r>
      <w:r>
        <w:rPr>
          <w:rFonts w:ascii="Times New Roman" w:cs="Times New Roman" w:eastAsia="Times New Roman" w:hAnsi="Times New Roman"/>
          <w:sz w:val="18"/>
          <w:szCs w:val="18"/>
          <w:color w:val="333333"/>
        </w:rPr>
        <w:t xml:space="preserve"> and the timing thereof, the continued clinical development of the rare disease programs, the planned completion of the European Phase 2 ARCT-810 Phase 2 study and availability of interim data from the study, the likelihood and timing of a European Marketing</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333333"/>
        </w:rPr>
        <w:t>Authorization application approval decision for Kostaive</w:t>
      </w:r>
      <w:r>
        <w:rPr>
          <w:rFonts w:ascii="Times New Roman" w:cs="Times New Roman" w:eastAsia="Times New Roman" w:hAnsi="Times New Roman"/>
          <w:sz w:val="29"/>
          <w:szCs w:val="29"/>
          <w:i w:val="1"/>
          <w:iCs w:val="1"/>
          <w:color w:val="333333"/>
          <w:vertAlign w:val="superscript"/>
        </w:rPr>
        <w:t>®</w:t>
      </w:r>
      <w:r>
        <w:rPr>
          <w:rFonts w:ascii="Times New Roman" w:cs="Times New Roman" w:eastAsia="Times New Roman" w:hAnsi="Times New Roman"/>
          <w:sz w:val="18"/>
          <w:szCs w:val="18"/>
          <w:color w:val="333333"/>
        </w:rPr>
        <w:t xml:space="preserve">, the anticipated enrollment in the Phase 2 clinical program for ARCT-810, that preclinical or clinical data will be predictive of future clinical results, the likelihood and timing of clinical study updates, the likelihood or timing of collection of accounts receivables including expected future milestone and other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w:t>
      </w:r>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1F01F9"/>
        </w:rPr>
        <w:t>www.sec.gov</w:t>
      </w:r>
      <w:r>
        <w:rPr>
          <w:rFonts w:ascii="Times New Roman" w:cs="Times New Roman" w:eastAsia="Times New Roman" w:hAnsi="Times New Roman"/>
          <w:sz w:val="18"/>
          <w:szCs w:val="18"/>
          <w:color w:val="333333"/>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Trademark Acknowledgements</w:t>
      </w:r>
    </w:p>
    <w:p>
      <w:pPr>
        <w:spacing w:after="0" w:line="3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333333"/>
        </w:rPr>
        <w:t>The Arcturus logo and other trademarks of Arcturus appearing in this announcement, including LUNAR</w:t>
      </w:r>
      <w:r>
        <w:rPr>
          <w:rFonts w:ascii="Times New Roman" w:cs="Times New Roman" w:eastAsia="Times New Roman" w:hAnsi="Times New Roman"/>
          <w:sz w:val="29"/>
          <w:szCs w:val="29"/>
          <w:color w:val="333333"/>
          <w:vertAlign w:val="superscript"/>
        </w:rPr>
        <w:t>®</w:t>
      </w:r>
      <w:r>
        <w:rPr>
          <w:rFonts w:ascii="Times New Roman" w:cs="Times New Roman" w:eastAsia="Times New Roman" w:hAnsi="Times New Roman"/>
          <w:sz w:val="18"/>
          <w:szCs w:val="18"/>
          <w:color w:val="333333"/>
        </w:rPr>
        <w:t xml:space="preserve"> and STARR</w:t>
      </w:r>
      <w:r>
        <w:rPr>
          <w:rFonts w:ascii="Times New Roman" w:cs="Times New Roman" w:eastAsia="Times New Roman" w:hAnsi="Times New Roman"/>
          <w:sz w:val="29"/>
          <w:szCs w:val="29"/>
          <w:color w:val="333333"/>
          <w:vertAlign w:val="superscript"/>
        </w:rPr>
        <w:t>®</w:t>
      </w:r>
      <w:r>
        <w:rPr>
          <w:rFonts w:ascii="Times New Roman" w:cs="Times New Roman" w:eastAsia="Times New Roman" w:hAnsi="Times New Roman"/>
          <w:sz w:val="18"/>
          <w:szCs w:val="18"/>
          <w:color w:val="333333"/>
        </w:rPr>
        <w:t>, are the property of Arcturus. All other trademarks, services marks, and trade names in this announcement are the property of their respective owners.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F01F9"/>
        </w:rPr>
        <w:t>IR@ArcturusRx.com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par value information)</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260,329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292,005</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7,521</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347,008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386,590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388,608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42,362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44,829</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81,989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42,496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25,907</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150,889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shares were 27,042 at June 30, 2024 and 26,828 at December 31, 2023</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670,455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646,352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(411,899)</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(367,866)</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258,583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278,513</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388,608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45,976</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9,565</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78,574</w:t>
            </w:r>
          </w:p>
        </w:tc>
        <w:tc>
          <w:tcPr>
            <w:tcW w:w="220" w:type="dxa"/>
            <w:vAlign w:val="bottom"/>
          </w:tcPr>
          <w:p>
            <w:pPr>
              <w:spacing w:after="0"/>
              <w:rPr>
                <w:sz w:val="18"/>
                <w:szCs w:val="18"/>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89,294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3,883</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49,859</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10,519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87,871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90,804</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58,669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104,436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12,316</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26,987</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70,985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65,893</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139,409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131,423</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foreign currency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33,953</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4,148</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2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7"/>
                <w:szCs w:val="17"/>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26,967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w:t>
            </w:r>
          </w:p>
        </w:tc>
        <w:tc>
          <w:tcPr>
            <w:tcW w:w="2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3"/>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2024-08-05T15:25:05Z</dcterms:created>
  <dcterms:modified xsi:type="dcterms:W3CDTF">2024-08-05T15:25:05Z</dcterms:modified>
</cp:coreProperties>
</file>