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212529"/>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June 21,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12529"/>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12529"/>
                <w:w w:val="9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12529"/>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w w:val="9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w w:val="99"/>
              </w:rPr>
              <w:t>(Former name or former address, if changed since last report)</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410"/>
        </w:trPr>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0" w:type="dxa"/>
            <w:vAlign w:val="bottom"/>
          </w:tcPr>
          <w:p>
            <w:pPr>
              <w:spacing w:after="0"/>
              <w:rPr>
                <w:sz w:val="20"/>
                <w:szCs w:val="20"/>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220" w:type="dxa"/>
            <w:vAlign w:val="bottom"/>
          </w:tcPr>
          <w:p>
            <w:pPr>
              <w:spacing w:after="0"/>
              <w:rPr>
                <w:sz w:val="20"/>
                <w:szCs w:val="20"/>
                <w:color w:val="auto"/>
              </w:rPr>
            </w:pPr>
          </w:p>
        </w:tc>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12529"/>
        </w:rPr>
        <w:t>On June 21, 2022, the stockholders of Arcturus Therapeutics Holdings Inc. (the “Company”) approved an amendment (the “2019 Plan Amendment”) to the Company’s Amended and Restated 2019 Omnibus Equity Incentive Plan (as amended, the “2019 Plan”). The 2019 Plan Amendment (i) increases the maximum number of shares of common stock available to 2019 Plan participants by 3,750,000 shares and (ii) increases the fair market value of cash or share awards a non-employee director may be granted in a calendar year under the 2019 Plan together with any awards granted outside of the 2019 Plan from $500,000 to $2,000,000 for newly-appointed directors, any lead independent director and any non-employee chair, or $1,000,000 for each other non-employee director. The foregoing is merely a summary of the 2019 Plan Amendment and the 2019 Plan, and is qualified in its entirety by reference to the 2019 Plan, as amended by the 2019 Plan Amendment, which is filed as Exhibit 10.1 hereto and incorporated by reference into this Item 1.01.</w:t>
      </w:r>
    </w:p>
    <w:p>
      <w:pPr>
        <w:spacing w:after="0" w:line="18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12529"/>
        </w:rPr>
        <w:t>On June 21, 2022, the Company held its annual meeting of stockholders (the “Meeting”). The total number of shares entitled to vote at the Meeting was 26,418,965 and there were present at the Meeting, in person or by proxy, 20,945,705 shares, which constituted a quorum for the Meeting.</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12529"/>
        </w:rPr>
        <w:t>At the Meeting, the stockholders voted on the following proposals, each of which is described in more detail in the Company’s definitive proxy statement filed with the Securities and Exchange Commission on May 12, 2022:</w:t>
      </w:r>
    </w:p>
    <w:p>
      <w:pPr>
        <w:spacing w:after="0" w:line="162" w:lineRule="exact"/>
        <w:rPr>
          <w:sz w:val="20"/>
          <w:szCs w:val="20"/>
          <w:color w:val="auto"/>
        </w:rPr>
      </w:pPr>
    </w:p>
    <w:p>
      <w:pPr>
        <w:ind w:right="260" w:firstLine="8"/>
        <w:spacing w:after="0" w:line="282" w:lineRule="auto"/>
        <w:tabs>
          <w:tab w:leader="none" w:pos="25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To elect Dr. Peter Farrell, Joseph E. Payne, Andy Sassine, James Barlow, Dr. Edward W. Holmes, Dr. Magda Marquet and Dr. Jing L. Marantz to the Board of Directors (the “Board”), to serve until our next annual meeting of stockholders;</w:t>
      </w:r>
    </w:p>
    <w:p>
      <w:pPr>
        <w:spacing w:after="0" w:line="161" w:lineRule="exact"/>
        <w:rPr>
          <w:rFonts w:ascii="Times New Roman" w:cs="Times New Roman" w:eastAsia="Times New Roman" w:hAnsi="Times New Roman"/>
          <w:sz w:val="18"/>
          <w:szCs w:val="18"/>
          <w:color w:val="212529"/>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To approve, on a non-binding advisory basis, the resolution approving named executive officer compensation;</w:t>
      </w:r>
    </w:p>
    <w:p>
      <w:pPr>
        <w:spacing w:after="0" w:line="225" w:lineRule="exact"/>
        <w:rPr>
          <w:rFonts w:ascii="Times New Roman" w:cs="Times New Roman" w:eastAsia="Times New Roman" w:hAnsi="Times New Roman"/>
          <w:sz w:val="18"/>
          <w:szCs w:val="18"/>
          <w:color w:val="212529"/>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To approve the 2019 Plan Amendment to amend the 2019 Plan;</w:t>
      </w:r>
    </w:p>
    <w:p>
      <w:pPr>
        <w:spacing w:after="0" w:line="225" w:lineRule="exact"/>
        <w:rPr>
          <w:rFonts w:ascii="Times New Roman" w:cs="Times New Roman" w:eastAsia="Times New Roman" w:hAnsi="Times New Roman"/>
          <w:sz w:val="18"/>
          <w:szCs w:val="18"/>
          <w:color w:val="212529"/>
        </w:rPr>
      </w:pPr>
    </w:p>
    <w:p>
      <w:pPr>
        <w:ind w:right="120" w:firstLine="8"/>
        <w:spacing w:after="0" w:line="282" w:lineRule="auto"/>
        <w:tabs>
          <w:tab w:leader="none" w:pos="25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To approve, on a non-binding advisory basis, the preferred frequency of stockholder advisory votes on executive compensation, referred to as “say-on-frequency”; and</w:t>
      </w:r>
    </w:p>
    <w:p>
      <w:pPr>
        <w:spacing w:after="0" w:line="161" w:lineRule="exact"/>
        <w:rPr>
          <w:rFonts w:ascii="Times New Roman" w:cs="Times New Roman" w:eastAsia="Times New Roman" w:hAnsi="Times New Roman"/>
          <w:sz w:val="18"/>
          <w:szCs w:val="18"/>
          <w:color w:val="212529"/>
        </w:rPr>
      </w:pPr>
    </w:p>
    <w:p>
      <w:pPr>
        <w:ind w:right="240" w:firstLine="8"/>
        <w:spacing w:after="0" w:line="282" w:lineRule="auto"/>
        <w:tabs>
          <w:tab w:leader="none" w:pos="25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To ratify the appointment of Ernst &amp; Young LLP (“E&amp;Y”), as our independent registered public accounting firm for the fiscal year ending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final results of the stockholder votes at the Meeting are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Proposal No. 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For</w:t>
            </w: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Withhold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178"/>
        </w:trPr>
        <w:tc>
          <w:tcPr>
            <w:tcW w:w="642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Approval of the election of the following individuals as directors of the Company, as</w:t>
            </w:r>
          </w:p>
        </w:tc>
        <w:tc>
          <w:tcPr>
            <w:tcW w:w="1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r>
      <w:tr>
        <w:trPr>
          <w:trHeight w:val="234"/>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provided in Proposal Number 1 of the Proxy Statement:</w:t>
            </w:r>
          </w:p>
        </w:tc>
        <w:tc>
          <w:tcPr>
            <w:tcW w:w="1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Peter Farrell</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13,891,902</w:t>
            </w:r>
          </w:p>
        </w:tc>
        <w:tc>
          <w:tcPr>
            <w:tcW w:w="2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3,815,108</w:t>
            </w:r>
          </w:p>
        </w:tc>
        <w:tc>
          <w:tcPr>
            <w:tcW w:w="2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3,238,695</w:t>
            </w: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E. Payne</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17,158,459</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548,551</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3,238,695</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Andy Sassine</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16,877,525</w:t>
            </w:r>
          </w:p>
        </w:tc>
        <w:tc>
          <w:tcPr>
            <w:tcW w:w="2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829,485</w:t>
            </w:r>
          </w:p>
        </w:tc>
        <w:tc>
          <w:tcPr>
            <w:tcW w:w="2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3,238,695</w:t>
            </w: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Barlow</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16,966,625</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740,385</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3,238,695</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Edward W. Holmes</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17,022,173</w:t>
            </w:r>
          </w:p>
        </w:tc>
        <w:tc>
          <w:tcPr>
            <w:tcW w:w="2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684,837</w:t>
            </w:r>
          </w:p>
        </w:tc>
        <w:tc>
          <w:tcPr>
            <w:tcW w:w="2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3,238,695</w:t>
            </w: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Magda Marquet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17,078,687</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628,323</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3,238,695</w:t>
            </w: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Jing L. Marantz</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17,164,657</w:t>
            </w:r>
          </w:p>
        </w:tc>
        <w:tc>
          <w:tcPr>
            <w:tcW w:w="2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542,353</w:t>
            </w:r>
          </w:p>
        </w:tc>
        <w:tc>
          <w:tcPr>
            <w:tcW w:w="2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3,238,695</w:t>
            </w:r>
          </w:p>
        </w:tc>
      </w:tr>
      <w:tr>
        <w:trPr>
          <w:trHeight w:val="549"/>
        </w:trPr>
        <w:tc>
          <w:tcPr>
            <w:tcW w:w="2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212529"/>
              </w:rPr>
              <w:t>Proposal No. 2</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34"/>
        </w:trPr>
        <w:tc>
          <w:tcPr>
            <w:tcW w:w="1080" w:type="dxa"/>
            <w:vAlign w:val="bottom"/>
            <w:tcBorders>
              <w:top w:val="single" w:sz="8" w:color="212529"/>
            </w:tcBorders>
          </w:tcPr>
          <w:p>
            <w:pPr>
              <w:spacing w:after="0"/>
              <w:rPr>
                <w:sz w:val="24"/>
                <w:szCs w:val="24"/>
                <w:color w:val="auto"/>
              </w:rPr>
            </w:pPr>
          </w:p>
        </w:tc>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Broker Non-</w:t>
            </w:r>
          </w:p>
        </w:tc>
      </w:tr>
      <w:tr>
        <w:trPr>
          <w:trHeight w:val="234"/>
        </w:trPr>
        <w:tc>
          <w:tcPr>
            <w:tcW w:w="10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w:t>
            </w:r>
          </w:p>
        </w:tc>
        <w:tc>
          <w:tcPr>
            <w:tcW w:w="14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w:t>
            </w:r>
          </w:p>
        </w:tc>
      </w:tr>
      <w:tr>
        <w:trPr>
          <w:trHeight w:val="178"/>
        </w:trPr>
        <w:tc>
          <w:tcPr>
            <w:tcW w:w="5060" w:type="dxa"/>
            <w:vAlign w:val="bottom"/>
            <w:tcBorders>
              <w:top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color w:val="212529"/>
              </w:rPr>
              <w:t>on a non-binding advisory basis, the resolution approving</w:t>
            </w:r>
          </w:p>
        </w:tc>
        <w:tc>
          <w:tcPr>
            <w:tcW w:w="4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216"/>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12529"/>
                <w:w w:val="99"/>
              </w:rPr>
              <w:t>named executive officer compensation</w:t>
            </w:r>
            <w:r>
              <w:rPr>
                <w:rFonts w:ascii="Times New Roman" w:cs="Times New Roman" w:eastAsia="Times New Roman" w:hAnsi="Times New Roman"/>
                <w:sz w:val="18"/>
                <w:szCs w:val="18"/>
                <w:color w:val="000000"/>
                <w:w w:val="99"/>
              </w:rPr>
              <w:t>, referred to as “say-on-pay,” as</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4"/>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provided in Proposal Number 2 of the Proxy Statement:</w:t>
            </w:r>
          </w:p>
        </w:tc>
        <w:tc>
          <w:tcPr>
            <w:tcW w:w="168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17,271,355</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205,052</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230,603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3,238,695</w:t>
            </w:r>
          </w:p>
        </w:tc>
      </w:tr>
      <w:tr>
        <w:trPr>
          <w:trHeight w:val="392"/>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212529"/>
              </w:rPr>
              <w:t>Proposal No. 3</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4"/>
        </w:trPr>
        <w:tc>
          <w:tcPr>
            <w:tcW w:w="1080" w:type="dxa"/>
            <w:vAlign w:val="bottom"/>
            <w:tcBorders>
              <w:top w:val="single" w:sz="8" w:color="212529"/>
            </w:tcBorders>
          </w:tcPr>
          <w:p>
            <w:pPr>
              <w:spacing w:after="0"/>
              <w:rPr>
                <w:sz w:val="24"/>
                <w:szCs w:val="24"/>
                <w:color w:val="auto"/>
              </w:rPr>
            </w:pPr>
          </w:p>
        </w:tc>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Broker Non-</w:t>
            </w:r>
          </w:p>
        </w:tc>
      </w:tr>
      <w:tr>
        <w:trPr>
          <w:trHeight w:val="234"/>
        </w:trPr>
        <w:tc>
          <w:tcPr>
            <w:tcW w:w="10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w:t>
            </w:r>
          </w:p>
        </w:tc>
        <w:tc>
          <w:tcPr>
            <w:tcW w:w="14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w:t>
            </w:r>
          </w:p>
        </w:tc>
      </w:tr>
      <w:tr>
        <w:trPr>
          <w:trHeight w:val="178"/>
        </w:trPr>
        <w:tc>
          <w:tcPr>
            <w:tcW w:w="5060" w:type="dxa"/>
            <w:vAlign w:val="bottom"/>
            <w:tcBorders>
              <w:top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Approval of the 2019 Plan Amendment, as provided in Proposal</w:t>
            </w:r>
          </w:p>
        </w:tc>
        <w:tc>
          <w:tcPr>
            <w:tcW w:w="4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234"/>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3 of the Proxy Statement:</w:t>
            </w:r>
          </w:p>
        </w:tc>
        <w:tc>
          <w:tcPr>
            <w:tcW w:w="4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7"/>
              </w:rPr>
              <w:t>9,375,429</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8,044,751</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286,830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3,238,695</w:t>
            </w:r>
          </w:p>
        </w:tc>
      </w:tr>
      <w:tr>
        <w:trPr>
          <w:trHeight w:val="392"/>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212529"/>
              </w:rPr>
              <w:t>Proposal No. 4</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4"/>
        </w:trPr>
        <w:tc>
          <w:tcPr>
            <w:tcW w:w="1080" w:type="dxa"/>
            <w:vAlign w:val="bottom"/>
            <w:tcBorders>
              <w:top w:val="single" w:sz="8" w:color="212529"/>
            </w:tcBorders>
          </w:tcPr>
          <w:p>
            <w:pPr>
              <w:spacing w:after="0"/>
              <w:rPr>
                <w:sz w:val="24"/>
                <w:szCs w:val="24"/>
                <w:color w:val="auto"/>
              </w:rPr>
            </w:pPr>
          </w:p>
        </w:tc>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Broker</w:t>
            </w:r>
          </w:p>
        </w:tc>
      </w:tr>
      <w:tr>
        <w:trPr>
          <w:trHeight w:val="234"/>
        </w:trPr>
        <w:tc>
          <w:tcPr>
            <w:tcW w:w="1080" w:type="dxa"/>
            <w:vAlign w:val="bottom"/>
            <w:tcBorders>
              <w:bottom w:val="single" w:sz="8" w:color="CCEEFF"/>
            </w:tcBorders>
          </w:tcPr>
          <w:p>
            <w:pPr>
              <w:spacing w:after="0"/>
              <w:rPr>
                <w:sz w:val="20"/>
                <w:szCs w:val="20"/>
                <w:color w:val="auto"/>
              </w:rPr>
            </w:pPr>
          </w:p>
        </w:tc>
        <w:tc>
          <w:tcPr>
            <w:tcW w:w="3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Two Years</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Three Years</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Abstain</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Non-Votes</w:t>
            </w:r>
          </w:p>
        </w:tc>
      </w:tr>
      <w:tr>
        <w:trPr>
          <w:trHeight w:val="178"/>
        </w:trPr>
        <w:tc>
          <w:tcPr>
            <w:tcW w:w="48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color w:val="212529"/>
              </w:rPr>
              <w:t>on a non-binding advisory basis, the preferred</w:t>
            </w: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6"/>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12529"/>
              </w:rPr>
              <w:t>frequency of stockholder advisory votes on executive</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12529"/>
              </w:rPr>
              <w:t>compensation, referred to as “say-on-frequency</w:t>
            </w:r>
            <w:r>
              <w:rPr>
                <w:rFonts w:ascii="Times New Roman" w:cs="Times New Roman" w:eastAsia="Times New Roman" w:hAnsi="Times New Roman"/>
                <w:sz w:val="18"/>
                <w:szCs w:val="18"/>
                <w:color w:val="000000"/>
              </w:rPr>
              <w:t>, as provided in</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4"/>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Number 4 of the Proxy Statement:</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12,516,033</w:t>
            </w:r>
          </w:p>
        </w:tc>
        <w:tc>
          <w:tcPr>
            <w:tcW w:w="13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4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5,006,920</w:t>
            </w: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167,757</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3,238,695</w:t>
            </w: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accordance with the voting results on this proposal which sets forth the preference of a majority of the Company’s stockholders, the Board of Directors has determined that the Company shall hold an advisory vote on executive compensation every year until the next say-on-frequency vote.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Proposal No. 5</w:t>
            </w:r>
          </w:p>
        </w:tc>
        <w:tc>
          <w:tcPr>
            <w:tcW w:w="4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34"/>
        </w:trPr>
        <w:tc>
          <w:tcPr>
            <w:tcW w:w="1080" w:type="dxa"/>
            <w:vAlign w:val="bottom"/>
            <w:tcBorders>
              <w:top w:val="single" w:sz="8" w:color="212529"/>
            </w:tcBorders>
          </w:tcPr>
          <w:p>
            <w:pPr>
              <w:spacing w:after="0"/>
              <w:rPr>
                <w:sz w:val="24"/>
                <w:szCs w:val="24"/>
                <w:color w:val="auto"/>
              </w:rPr>
            </w:pPr>
          </w:p>
        </w:tc>
        <w:tc>
          <w:tcPr>
            <w:tcW w:w="3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w:t>
            </w:r>
          </w:p>
        </w:tc>
      </w:tr>
      <w:tr>
        <w:trPr>
          <w:trHeight w:val="234"/>
        </w:trPr>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For</w:t>
            </w: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Against</w:t>
            </w: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Votes</w:t>
            </w:r>
          </w:p>
        </w:tc>
      </w:tr>
      <w:tr>
        <w:trPr>
          <w:trHeight w:val="178"/>
        </w:trPr>
        <w:tc>
          <w:tcPr>
            <w:tcW w:w="5600" w:type="dxa"/>
            <w:vAlign w:val="bottom"/>
            <w:tcBorders>
              <w:top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Approval of the ratification of the appointment of Ernst &amp; Young LLP as</w:t>
            </w: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16"/>
        </w:trPr>
        <w:tc>
          <w:tcPr>
            <w:tcW w:w="7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Company’s independent registered public accounting firm for the year</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December 31, 2022, as provided in Proposal Number 5 of the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5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20,933,534</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7,704</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4,467</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459"/>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6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21" w:lineRule="exact"/>
        <w:rPr>
          <w:sz w:val="20"/>
          <w:szCs w:val="20"/>
          <w:color w:val="auto"/>
        </w:rPr>
      </w:pPr>
    </w:p>
    <w:p>
      <w:pPr>
        <w:ind w:left="1140" w:hanging="1132"/>
        <w:spacing w:after="0"/>
        <w:tabs>
          <w:tab w:leader="none" w:pos="11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10.1 * †</w:t>
      </w:r>
      <w:r>
        <w:rPr>
          <w:sz w:val="20"/>
          <w:szCs w:val="20"/>
          <w:color w:val="auto"/>
        </w:rPr>
        <w:tab/>
      </w:r>
      <w:r>
        <w:rPr>
          <w:rFonts w:ascii="Times New Roman" w:cs="Times New Roman" w:eastAsia="Times New Roman" w:hAnsi="Times New Roman"/>
          <w:sz w:val="18"/>
          <w:szCs w:val="18"/>
          <w:u w:val="single" w:color="auto"/>
          <w:color w:val="0000EE"/>
        </w:rPr>
        <w:t>Amended and Restated 2019 Omnibus Equity Incentive Plan,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Filed herewith.</w:t>
      </w:r>
    </w:p>
    <w:p>
      <w:pPr>
        <w:spacing w:after="0" w:line="225"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Management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2022</w:t>
      </w:r>
    </w:p>
    <w:p>
      <w:pPr>
        <w:spacing w:after="0" w:line="207" w:lineRule="exact"/>
        <w:rPr>
          <w:sz w:val="20"/>
          <w:szCs w:val="20"/>
          <w:color w:val="auto"/>
        </w:rPr>
      </w:pPr>
    </w:p>
    <w:tbl>
      <w:tblPr>
        <w:tblLayout w:type="fixed"/>
        <w:tblInd w:w="58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698"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&amp; RESTATED 2019 OMNIBUS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(Originally Effective June 10, 2019; Amended &amp; Restated Effective June 5, 2020; Amended Effective June 21, 2022)</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DATE, OBJECTIVES AND DURATION</w:t>
      </w:r>
    </w:p>
    <w:p>
      <w:pPr>
        <w:spacing w:after="0" w:line="207"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Effective Date of the Plan</w:t>
      </w:r>
      <w:r>
        <w:rPr>
          <w:rFonts w:ascii="Times New Roman" w:cs="Times New Roman" w:eastAsia="Times New Roman" w:hAnsi="Times New Roman"/>
          <w:sz w:val="18"/>
          <w:szCs w:val="18"/>
          <w:color w:val="auto"/>
        </w:rPr>
        <w:t>. The Board of Directors of ARCTURUS THERAPEUTICS HOLDINGS INC., a Delaware corporation (the “Company”), originally adopted the 2019 OMNIBUS EQUITY INCENTIVE PLAN, as amended and restated to date (the “Plan”) effective as of June 10, 2019. An amendment and restatement of the Plan was adopted by the Board on April 26, 2020 and became effective June 5, 2020 upon approval by the Company’s stockholders. The most recent amendment of the Plan was adopted by the Board on April 28, 2022 and became effective on June 21, 2022 upon approval by the Company’s stockholder (the “Effective Date”).</w:t>
      </w:r>
    </w:p>
    <w:p>
      <w:pPr>
        <w:spacing w:after="0" w:line="183" w:lineRule="exact"/>
        <w:rPr>
          <w:sz w:val="20"/>
          <w:szCs w:val="20"/>
          <w:color w:val="auto"/>
        </w:rPr>
      </w:pPr>
    </w:p>
    <w:p>
      <w:pPr>
        <w:ind w:right="160" w:firstLine="441"/>
        <w:spacing w:after="0" w:line="26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Objectives of the Plan</w:t>
      </w:r>
      <w:r>
        <w:rPr>
          <w:rFonts w:ascii="Times New Roman" w:cs="Times New Roman" w:eastAsia="Times New Roman" w:hAnsi="Times New Roman"/>
          <w:sz w:val="17"/>
          <w:szCs w:val="17"/>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(d) to provide Grantees with an incentive for excellence in individual performance, (e) to promote teamwork among employees, consultants and Non-Employee Directors, and (f) to attract and retain highly qualified persons to serve as Non-Employee Directors and to promote ownership by</w:t>
      </w:r>
    </w:p>
    <w:p>
      <w:pPr>
        <w:spacing w:after="0" w:line="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such Non-Employee Directors of a greater proprietary interest in the Company, thereby aligning such Non-Employee Directors’ interests more closely with the interests of the Company’s stockholders.</w:t>
      </w:r>
    </w:p>
    <w:p>
      <w:pPr>
        <w:spacing w:after="0" w:line="18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Duration of the Plan</w:t>
      </w:r>
      <w:r>
        <w:rPr>
          <w:rFonts w:ascii="Times New Roman" w:cs="Times New Roman" w:eastAsia="Times New Roman" w:hAnsi="Times New Roman"/>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 provided, however, in no event may an Incentive Stock Option be granted more than ten years after the earlier of (i) the date of the most recent adoption of the Plan by the Board or (ii) the Effective Date.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Whenever used in the Plan, the following terms shall have the meanings set forth below:</w:t>
      </w:r>
    </w:p>
    <w:p>
      <w:pPr>
        <w:spacing w:after="0" w:line="225" w:lineRule="exact"/>
        <w:rPr>
          <w:sz w:val="20"/>
          <w:szCs w:val="20"/>
          <w:color w:val="auto"/>
        </w:rPr>
      </w:pPr>
    </w:p>
    <w:p>
      <w:pPr>
        <w:jc w:val="both"/>
        <w:ind w:right="180" w:firstLine="441"/>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180"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Bonus Shares</w:t>
      </w:r>
      <w:r>
        <w:rPr>
          <w:rFonts w:ascii="Times New Roman" w:cs="Times New Roman" w:eastAsia="Times New Roman" w:hAnsi="Times New Roman"/>
          <w:sz w:val="18"/>
          <w:szCs w:val="18"/>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except as otherwise defined in an Award Agreement:</w:t>
      </w:r>
    </w:p>
    <w:p>
      <w:pPr>
        <w:spacing w:after="0" w:line="225" w:lineRule="exact"/>
        <w:rPr>
          <w:sz w:val="20"/>
          <w:szCs w:val="20"/>
          <w:color w:val="auto"/>
        </w:rPr>
      </w:pPr>
    </w:p>
    <w:p>
      <w:pPr>
        <w:ind w:left="1140" w:hanging="251"/>
        <w:spacing w:after="0"/>
        <w:tabs>
          <w:tab w:leader="none" w:pos="1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of any act by a Grantee constituting a felony or crime of moral turpitude (or their equivalent in a non-United States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w:t>
      </w:r>
    </w:p>
    <w:p>
      <w:pPr>
        <w:spacing w:after="0" w:line="206"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dishonesty, fraud, intentional misrepresentation, or harassment which, as determined in good faith by the Committee, would:</w:t>
      </w:r>
    </w:p>
    <w:p>
      <w:pPr>
        <w:spacing w:after="0" w:line="27" w:lineRule="exact"/>
        <w:rPr>
          <w:rFonts w:ascii="Times New Roman" w:cs="Times New Roman" w:eastAsia="Times New Roman" w:hAnsi="Times New Roman"/>
          <w:sz w:val="18"/>
          <w:szCs w:val="18"/>
          <w:color w:val="auto"/>
        </w:rPr>
      </w:pPr>
    </w:p>
    <w:p>
      <w:pPr>
        <w:ind w:firstLine="8"/>
        <w:spacing w:after="0" w:line="255"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18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misconduct in violation of the Company’s or an Affiliate’s written policies; or</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and deliberate non-performance of the Grantee’s duties in connection with the business affairs of the Company or its Affiliates;</w:t>
      </w:r>
    </w:p>
    <w:p>
      <w:pPr>
        <w:spacing w:after="0" w:line="223" w:lineRule="exact"/>
        <w:rPr>
          <w:sz w:val="20"/>
          <w:szCs w:val="20"/>
          <w:color w:val="auto"/>
        </w:rPr>
      </w:pPr>
    </w:p>
    <w:p>
      <w:pPr>
        <w:jc w:val="both"/>
        <w:ind w:right="64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Grantee has a written employment or consulting agreement with the Company or any of its Affiliates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participates in any severance plan established by the Company that includes a definition of “cause,” Cause shall have the meaning set forth in such employment or consulting agreement or severance plan.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means the Chief Executive Officer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Section 16.4(e).</w:t>
      </w:r>
    </w:p>
    <w:p>
      <w:pPr>
        <w:spacing w:after="0" w:line="225"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Incentive Plan Committee</w:t>
      </w:r>
      <w:r>
        <w:rPr>
          <w:rFonts w:ascii="Times New Roman" w:cs="Times New Roman" w:eastAsia="Times New Roman" w:hAnsi="Times New Roman"/>
          <w:sz w:val="18"/>
          <w:szCs w:val="18"/>
          <w:color w:val="auto"/>
        </w:rPr>
        <w:t>” has the meaning set forth in Section 3.1(a).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$0.001 par value,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shall have the meaning set forth in Section 4.2(b).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means a right, granted under Article 10, to receive Shares at the end of a specified deferral period.</w:t>
      </w:r>
    </w:p>
    <w:p>
      <w:pPr>
        <w:spacing w:after="0" w:line="225"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means, unless otherwise defined in an Award Agreement, or as otherwise determined under procedures established by the Committee for purposes of the Plan:</w:t>
      </w:r>
    </w:p>
    <w:p>
      <w:pPr>
        <w:spacing w:after="0" w:line="162" w:lineRule="exact"/>
        <w:rPr>
          <w:sz w:val="20"/>
          <w:szCs w:val="20"/>
          <w:color w:val="auto"/>
        </w:rPr>
      </w:pPr>
    </w:p>
    <w:p>
      <w:pPr>
        <w:ind w:left="1140" w:hanging="251"/>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(b) below, a disability within the meaning of Section 22(e)(3) of the Code; and</w:t>
      </w:r>
    </w:p>
    <w:p>
      <w:pPr>
        <w:spacing w:after="0" w:line="225" w:lineRule="exact"/>
        <w:rPr>
          <w:rFonts w:ascii="Times New Roman" w:cs="Times New Roman" w:eastAsia="Times New Roman" w:hAnsi="Times New Roman"/>
          <w:sz w:val="18"/>
          <w:szCs w:val="18"/>
          <w:color w:val="auto"/>
        </w:rPr>
      </w:pPr>
    </w:p>
    <w:p>
      <w:pPr>
        <w:ind w:right="80" w:firstLine="889"/>
        <w:spacing w:after="0" w:line="282" w:lineRule="auto"/>
        <w:tabs>
          <w:tab w:leader="none" w:pos="11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161" w:lineRule="exact"/>
        <w:rPr>
          <w:rFonts w:ascii="Times New Roman" w:cs="Times New Roman" w:eastAsia="Times New Roman" w:hAnsi="Times New Roman"/>
          <w:sz w:val="18"/>
          <w:szCs w:val="18"/>
          <w:color w:val="auto"/>
        </w:rPr>
      </w:pPr>
    </w:p>
    <w:p>
      <w:pPr>
        <w:ind w:left="880" w:right="160" w:firstLine="450"/>
        <w:spacing w:after="0" w:line="282" w:lineRule="auto"/>
        <w:tabs>
          <w:tab w:leader="none" w:pos="15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61" w:lineRule="exact"/>
        <w:rPr>
          <w:rFonts w:ascii="Times New Roman" w:cs="Times New Roman" w:eastAsia="Times New Roman" w:hAnsi="Times New Roman"/>
          <w:sz w:val="18"/>
          <w:szCs w:val="18"/>
          <w:color w:val="auto"/>
        </w:rPr>
      </w:pPr>
    </w:p>
    <w:p>
      <w:pPr>
        <w:jc w:val="both"/>
        <w:ind w:left="880" w:right="180" w:firstLine="450"/>
        <w:spacing w:after="0" w:line="266" w:lineRule="auto"/>
        <w:tabs>
          <w:tab w:leader="none" w:pos="15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 w:name="page7"/>
    <w:bookmarkEnd w:id="6"/>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means a right to receive payments equal to dividends or property, if and when paid or distributed, on a specified number of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Section 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means any individual who is an employee (including any officer) of, a non-employee consultant to, or a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 of, the Company or any Affiliate; provided, however, that solely with respect to the grant of an Incentive Stock Option, an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shall be any employee (including any officer) of the Company or any Subsidiary Corporation. Notwithstanding the foregoing, an Eligible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also include an individual who is expected to become an employee to, non-employee consultant of or Non-Employee Director of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within a reasonable period of time after the grant of an Award (other than an Incentive Stock Option); provided that any Award granted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individual shall be automatically terminated and cancelled without consideration if the individual does not begin performing services for the Company</w:t>
      </w:r>
    </w:p>
    <w:p>
      <w:pPr>
        <w:spacing w:after="0" w:line="9" w:lineRule="exact"/>
        <w:rPr>
          <w:sz w:val="20"/>
          <w:szCs w:val="20"/>
          <w:color w:val="auto"/>
        </w:rPr>
      </w:pPr>
    </w:p>
    <w:p>
      <w:pPr>
        <w:ind w:right="720"/>
        <w:spacing w:after="0" w:line="255" w:lineRule="auto"/>
        <w:rPr>
          <w:sz w:val="20"/>
          <w:szCs w:val="20"/>
          <w:color w:val="auto"/>
        </w:rPr>
      </w:pPr>
      <w:r>
        <w:rPr>
          <w:rFonts w:ascii="Times New Roman" w:cs="Times New Roman" w:eastAsia="Times New Roman" w:hAnsi="Times New Roman"/>
          <w:sz w:val="18"/>
          <w:szCs w:val="18"/>
          <w:color w:val="auto"/>
        </w:rPr>
        <w:t>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18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References to a particular section of the Exchange Act include references to successor provisions.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(a) with respect to an Option, the price at which a Share may be purchased by a Grantee pursuant to such Option or</w:t>
      </w:r>
    </w:p>
    <w:p>
      <w:pPr>
        <w:spacing w:after="0" w:line="27" w:lineRule="exact"/>
        <w:rPr>
          <w:sz w:val="20"/>
          <w:szCs w:val="20"/>
          <w:color w:val="auto"/>
        </w:rPr>
      </w:pPr>
    </w:p>
    <w:p>
      <w:pPr>
        <w:ind w:right="180"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18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means the date on which an Award is granted or such later date as specified in advance by the Committee.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 person who has been granted an Award.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intended to meet the requirements of Section 422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means “including, without limitation,” or “includes, without limitation,” respectively.</w:t>
      </w:r>
    </w:p>
    <w:p>
      <w:pPr>
        <w:spacing w:after="0" w:line="225"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Lead Independent Director</w:t>
      </w:r>
      <w:r>
        <w:rPr>
          <w:rFonts w:ascii="Times New Roman" w:cs="Times New Roman" w:eastAsia="Times New Roman" w:hAnsi="Times New Roman"/>
          <w:sz w:val="18"/>
          <w:szCs w:val="18"/>
          <w:color w:val="auto"/>
        </w:rPr>
        <w:t>” means a Non-Employee Director who has been appointed as lead independent director by the Board, in accord with the policies and procedures of the Company, the Board and the committees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Management Committee</w:t>
      </w:r>
      <w:r>
        <w:rPr>
          <w:rFonts w:ascii="Times New Roman" w:cs="Times New Roman" w:eastAsia="Times New Roman" w:hAnsi="Times New Roman"/>
          <w:sz w:val="18"/>
          <w:szCs w:val="18"/>
          <w:color w:val="auto"/>
        </w:rPr>
        <w:t>” has the meaning set forth in Section 3.1(b).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 of the Company or any Affiliate.</w:t>
      </w:r>
    </w:p>
    <w:p>
      <w:pPr>
        <w:spacing w:after="0" w:line="225"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Non-Employee Director Chair</w:t>
      </w:r>
      <w:r>
        <w:rPr>
          <w:rFonts w:ascii="Times New Roman" w:cs="Times New Roman" w:eastAsia="Times New Roman" w:hAnsi="Times New Roman"/>
          <w:sz w:val="18"/>
          <w:szCs w:val="18"/>
          <w:color w:val="auto"/>
        </w:rPr>
        <w:t>” means a Non-Employee Director who has been appointed to act as chair of one or more committees of the Board, in accord with the policies and procedures of the Company, the Board and the committees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granted under Article 6 of the Plan.</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means a right, granted under Article 13 hereof, that relates to or is valued by reference to Shares or other Awards relating to Shares.</w:t>
      </w:r>
    </w:p>
    <w:p>
      <w:pPr>
        <w:spacing w:after="0" w:line="162" w:lineRule="exact"/>
        <w:rPr>
          <w:sz w:val="20"/>
          <w:szCs w:val="20"/>
          <w:color w:val="auto"/>
        </w:rPr>
      </w:pPr>
    </w:p>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with respect to an Award of Performance Shares or Performance Units, the period of time during which the performance vesting conditions applicable to such Award must be satisfied.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have the respective meanings set forth in Article 9.</w:t>
      </w:r>
    </w:p>
    <w:p>
      <w:pPr>
        <w:spacing w:after="0" w:line="225"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Restricted Shares are subject to forfeiture if the conditions specified in the Award Agreement are not satisfied.</w:t>
      </w:r>
    </w:p>
    <w:p>
      <w:pPr>
        <w:spacing w:after="0" w:line="162" w:lineRule="exact"/>
        <w:rPr>
          <w:sz w:val="20"/>
          <w:szCs w:val="20"/>
          <w:color w:val="auto"/>
        </w:rPr>
      </w:pPr>
    </w:p>
    <w:p>
      <w:pPr>
        <w:ind w:right="380" w:firstLine="441"/>
        <w:spacing w:after="0" w:line="312" w:lineRule="auto"/>
        <w:rPr>
          <w:sz w:val="20"/>
          <w:szCs w:val="20"/>
          <w:color w:val="auto"/>
        </w:rPr>
      </w:pPr>
      <w:r>
        <w:rPr>
          <w:rFonts w:ascii="Times New Roman" w:cs="Times New Roman" w:eastAsia="Times New Roman" w:hAnsi="Times New Roman"/>
          <w:sz w:val="17"/>
          <w:szCs w:val="17"/>
          <w:color w:val="auto"/>
        </w:rPr>
        <w:t>2.35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40"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162"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are rights, granted under Article 10, to receive Shares (or cash in lieu thereof) if the Grantee satisfies the conditions specified in the Award Agreement applicable to such rights.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by the SEC under the Exchange Act, as amended from time to time, together with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any successor thereto.</w:t>
      </w:r>
    </w:p>
    <w:p>
      <w:pPr>
        <w:spacing w:after="0" w:line="225"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Section 16 Non-Employee Director</w:t>
      </w:r>
      <w:r>
        <w:rPr>
          <w:rFonts w:ascii="Times New Roman" w:cs="Times New Roman" w:eastAsia="Times New Roman" w:hAnsi="Times New Roman"/>
          <w:sz w:val="18"/>
          <w:szCs w:val="18"/>
          <w:color w:val="auto"/>
        </w:rPr>
        <w:t>” means a member of the Board who satisfies the requirements to qualify as a “non-employee director” under Rule 16b-3.</w:t>
      </w:r>
    </w:p>
    <w:p>
      <w:pPr>
        <w:spacing w:after="0" w:line="162"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Section 16 Person</w:t>
      </w:r>
      <w:r>
        <w:rPr>
          <w:rFonts w:ascii="Times New Roman" w:cs="Times New Roman" w:eastAsia="Times New Roman" w:hAnsi="Times New Roman"/>
          <w:sz w:val="18"/>
          <w:szCs w:val="18"/>
          <w:color w:val="auto"/>
        </w:rPr>
        <w:t>” means a person who is subject to potential liability under Section 16(b) of the Exchange Act with respect to transactions involving equity securities of the Company.</w:t>
      </w:r>
    </w:p>
    <w:p>
      <w:pPr>
        <w:spacing w:after="0" w:line="162"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192"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Common Stock, and such other securities of the Company, as may be substituted or resubstituted for Shares pursuant to Section 4.2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an Award granted under Article 7 of the Plan.</w:t>
      </w:r>
    </w:p>
    <w:p>
      <w:pPr>
        <w:spacing w:after="0" w:line="225"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Subsidiary Corporation</w:t>
      </w:r>
      <w:r>
        <w:rPr>
          <w:rFonts w:ascii="Times New Roman" w:cs="Times New Roman" w:eastAsia="Times New Roman" w:hAnsi="Times New Roman"/>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76"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16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Termination of Affiliation</w:t>
      </w:r>
      <w:r>
        <w:rPr>
          <w:rFonts w:ascii="Times New Roman" w:cs="Times New Roman" w:eastAsia="Times New Roman" w:hAnsi="Times New Roman"/>
          <w:sz w:val="18"/>
          <w:szCs w:val="18"/>
          <w:color w:val="auto"/>
        </w:rPr>
        <w:t>” occurs on the first day on which an individual is for any reason no longer performing services for the 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6" w:lineRule="auto"/>
        <w:tabs>
          <w:tab w:leader="none" w:pos="11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187" w:lineRule="exact"/>
        <w:rPr>
          <w:rFonts w:ascii="Times New Roman" w:cs="Times New Roman" w:eastAsia="Times New Roman" w:hAnsi="Times New Roman"/>
          <w:sz w:val="18"/>
          <w:szCs w:val="18"/>
          <w:color w:val="auto"/>
        </w:rPr>
      </w:pPr>
    </w:p>
    <w:p>
      <w:pPr>
        <w:ind w:right="240" w:firstLine="889"/>
        <w:spacing w:after="0" w:line="266" w:lineRule="auto"/>
        <w:tabs>
          <w:tab w:leader="none" w:pos="11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175" w:lineRule="exact"/>
        <w:rPr>
          <w:rFonts w:ascii="Times New Roman" w:cs="Times New Roman" w:eastAsia="Times New Roman" w:hAnsi="Times New Roman"/>
          <w:sz w:val="18"/>
          <w:szCs w:val="18"/>
          <w:color w:val="auto"/>
        </w:rPr>
      </w:pPr>
    </w:p>
    <w:p>
      <w:pPr>
        <w:ind w:right="60" w:firstLine="889"/>
        <w:spacing w:after="0" w:line="256" w:lineRule="auto"/>
        <w:tabs>
          <w:tab w:leader="none" w:pos="11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187"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180" w:lineRule="exact"/>
        <w:rPr>
          <w:sz w:val="20"/>
          <w:szCs w:val="20"/>
          <w:color w:val="auto"/>
        </w:rPr>
      </w:pPr>
    </w:p>
    <w:p>
      <w:pPr>
        <w:ind w:left="1140" w:hanging="251"/>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to whom and in what types and amounts Awards should be granted;</w:t>
      </w:r>
    </w:p>
    <w:p>
      <w:pPr>
        <w:spacing w:after="0" w:line="225" w:lineRule="exact"/>
        <w:rPr>
          <w:rFonts w:ascii="Times New Roman" w:cs="Times New Roman" w:eastAsia="Times New Roman" w:hAnsi="Times New Roman"/>
          <w:sz w:val="18"/>
          <w:szCs w:val="18"/>
          <w:color w:val="auto"/>
        </w:rPr>
      </w:pPr>
    </w:p>
    <w:p>
      <w:pPr>
        <w:ind w:right="100" w:firstLine="889"/>
        <w:spacing w:after="0" w:line="258" w:lineRule="auto"/>
        <w:tabs>
          <w:tab w:leader="none" w:pos="11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ind w:right="80" w:firstLine="889"/>
        <w:spacing w:after="0" w:line="282" w:lineRule="auto"/>
        <w:tabs>
          <w:tab w:leader="none" w:pos="112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161" w:lineRule="exact"/>
        <w:rPr>
          <w:rFonts w:ascii="Times New Roman" w:cs="Times New Roman" w:eastAsia="Times New Roman" w:hAnsi="Times New Roman"/>
          <w:sz w:val="18"/>
          <w:szCs w:val="18"/>
          <w:color w:val="auto"/>
        </w:rPr>
      </w:pPr>
    </w:p>
    <w:p>
      <w:pPr>
        <w:ind w:right="400" w:firstLine="889"/>
        <w:spacing w:after="0" w:line="282" w:lineRule="auto"/>
        <w:tabs>
          <w:tab w:leader="none" w:pos="11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 of any Option or SAR;</w:t>
      </w:r>
    </w:p>
    <w:p>
      <w:pPr>
        <w:spacing w:after="0" w:line="225" w:lineRule="exact"/>
        <w:rPr>
          <w:rFonts w:ascii="Times New Roman" w:cs="Times New Roman" w:eastAsia="Times New Roman" w:hAnsi="Times New Roman"/>
          <w:sz w:val="18"/>
          <w:szCs w:val="18"/>
          <w:color w:val="auto"/>
        </w:rPr>
      </w:pPr>
    </w:p>
    <w:p>
      <w:pPr>
        <w:ind w:right="120" w:firstLine="889"/>
        <w:spacing w:after="0" w:line="266" w:lineRule="auto"/>
        <w:tabs>
          <w:tab w:leader="none" w:pos="110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175" w:lineRule="exact"/>
        <w:rPr>
          <w:rFonts w:ascii="Times New Roman" w:cs="Times New Roman" w:eastAsia="Times New Roman" w:hAnsi="Times New Roman"/>
          <w:sz w:val="18"/>
          <w:szCs w:val="18"/>
          <w:color w:val="auto"/>
        </w:rPr>
      </w:pPr>
    </w:p>
    <w:p>
      <w:pPr>
        <w:ind w:right="80" w:firstLine="889"/>
        <w:spacing w:after="0" w:line="261" w:lineRule="auto"/>
        <w:tabs>
          <w:tab w:leader="none" w:pos="11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79" w:lineRule="exact"/>
        <w:rPr>
          <w:rFonts w:ascii="Times New Roman" w:cs="Times New Roman" w:eastAsia="Times New Roman" w:hAnsi="Times New Roman"/>
          <w:sz w:val="18"/>
          <w:szCs w:val="18"/>
          <w:color w:val="auto"/>
        </w:rPr>
      </w:pPr>
    </w:p>
    <w:p>
      <w:pPr>
        <w:ind w:right="60" w:firstLine="889"/>
        <w:spacing w:after="0" w:line="266" w:lineRule="auto"/>
        <w:tabs>
          <w:tab w:leader="none" w:pos="11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175" w:lineRule="exact"/>
        <w:rPr>
          <w:rFonts w:ascii="Times New Roman" w:cs="Times New Roman" w:eastAsia="Times New Roman" w:hAnsi="Times New Roman"/>
          <w:sz w:val="18"/>
          <w:szCs w:val="18"/>
          <w:color w:val="auto"/>
        </w:rPr>
      </w:pPr>
    </w:p>
    <w:p>
      <w:pPr>
        <w:ind w:left="1100" w:hanging="211"/>
        <w:spacing w:after="0"/>
        <w:tabs>
          <w:tab w:leader="none" w:pos="11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offer to exchange or buy out any previously granted Award for a payment in cash, Shares or other Award;</w:t>
      </w:r>
    </w:p>
    <w:p>
      <w:pPr>
        <w:spacing w:after="0" w:line="225" w:lineRule="exact"/>
        <w:rPr>
          <w:rFonts w:ascii="Times New Roman" w:cs="Times New Roman" w:eastAsia="Times New Roman" w:hAnsi="Times New Roman"/>
          <w:sz w:val="18"/>
          <w:szCs w:val="18"/>
          <w:color w:val="auto"/>
        </w:rPr>
      </w:pPr>
    </w:p>
    <w:p>
      <w:pPr>
        <w:ind w:right="840" w:firstLine="889"/>
        <w:spacing w:after="0" w:line="282" w:lineRule="auto"/>
        <w:tabs>
          <w:tab w:leader="none" w:pos="10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to make all determinations, including factual determinations, necessary or advisable for the administration of the Plan;</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amend, suspend, waive and rescind rules and regulations relating to the Plan;</w:t>
      </w:r>
    </w:p>
    <w:p>
      <w:pPr>
        <w:spacing w:after="0" w:line="225" w:lineRule="exact"/>
        <w:rPr>
          <w:rFonts w:ascii="Times New Roman" w:cs="Times New Roman" w:eastAsia="Times New Roman" w:hAnsi="Times New Roman"/>
          <w:sz w:val="18"/>
          <w:szCs w:val="18"/>
          <w:color w:val="auto"/>
        </w:rPr>
      </w:pPr>
    </w:p>
    <w:p>
      <w:pPr>
        <w:ind w:left="1100" w:hanging="211"/>
        <w:spacing w:after="0"/>
        <w:tabs>
          <w:tab w:leader="none" w:pos="11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such agents as the Committee may deem necessary or advisable to administer the Plan;</w:t>
      </w:r>
    </w:p>
    <w:p>
      <w:pPr>
        <w:spacing w:after="0" w:line="225" w:lineRule="exact"/>
        <w:rPr>
          <w:rFonts w:ascii="Times New Roman" w:cs="Times New Roman" w:eastAsia="Times New Roman" w:hAnsi="Times New Roman"/>
          <w:sz w:val="18"/>
          <w:szCs w:val="18"/>
          <w:color w:val="auto"/>
        </w:rPr>
      </w:pPr>
    </w:p>
    <w:p>
      <w:pPr>
        <w:ind w:right="40" w:firstLine="889"/>
        <w:spacing w:after="0" w:line="272" w:lineRule="auto"/>
        <w:tabs>
          <w:tab w:leader="none" w:pos="1186"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w:t>
      </w:r>
    </w:p>
    <w:p>
      <w:pPr>
        <w:spacing w:after="0" w:line="1" w:lineRule="exact"/>
        <w:rPr>
          <w:rFonts w:ascii="Times New Roman" w:cs="Times New Roman" w:eastAsia="Times New Roman" w:hAnsi="Times New Roman"/>
          <w:sz w:val="17"/>
          <w:szCs w:val="17"/>
          <w:color w:val="auto"/>
        </w:rPr>
      </w:pPr>
    </w:p>
    <w:p>
      <w:pPr>
        <w:ind w:right="20" w:firstLine="8"/>
        <w:spacing w:after="0" w:line="260"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8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with the consent of the Grantee, outstanding Awards and to grant new Awards in substitution therefor;</w:t>
      </w:r>
    </w:p>
    <w:p>
      <w:pPr>
        <w:spacing w:after="0" w:line="225" w:lineRule="exact"/>
        <w:rPr>
          <w:rFonts w:ascii="Times New Roman" w:cs="Times New Roman" w:eastAsia="Times New Roman" w:hAnsi="Times New Roman"/>
          <w:sz w:val="18"/>
          <w:szCs w:val="18"/>
          <w:color w:val="auto"/>
        </w:rPr>
      </w:pPr>
    </w:p>
    <w:p>
      <w:pPr>
        <w:ind w:right="20" w:firstLine="889"/>
        <w:spacing w:after="0" w:line="312" w:lineRule="auto"/>
        <w:tabs>
          <w:tab w:leader="none" w:pos="1136"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139" w:lineRule="exact"/>
        <w:rPr>
          <w:rFonts w:ascii="Times New Roman" w:cs="Times New Roman" w:eastAsia="Times New Roman" w:hAnsi="Times New Roman"/>
          <w:sz w:val="17"/>
          <w:szCs w:val="17"/>
          <w:color w:val="auto"/>
        </w:rPr>
      </w:pPr>
    </w:p>
    <w:p>
      <w:pPr>
        <w:jc w:val="both"/>
        <w:ind w:right="80" w:firstLine="889"/>
        <w:spacing w:after="0" w:line="266" w:lineRule="auto"/>
        <w:tabs>
          <w:tab w:leader="none" w:pos="11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175" w:lineRule="exact"/>
        <w:rPr>
          <w:rFonts w:ascii="Times New Roman" w:cs="Times New Roman" w:eastAsia="Times New Roman" w:hAnsi="Times New Roman"/>
          <w:sz w:val="18"/>
          <w:szCs w:val="18"/>
          <w:color w:val="auto"/>
        </w:rPr>
      </w:pPr>
    </w:p>
    <w:p>
      <w:pPr>
        <w:ind w:firstLine="889"/>
        <w:spacing w:after="0" w:line="282" w:lineRule="auto"/>
        <w:tabs>
          <w:tab w:leader="none" w:pos="11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ind w:right="320" w:firstLine="889"/>
        <w:spacing w:after="0" w:line="282" w:lineRule="auto"/>
        <w:tabs>
          <w:tab w:leader="none" w:pos="11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62"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 Repricings</w:t>
      </w:r>
      <w:r>
        <w:rPr>
          <w:rFonts w:ascii="Times New Roman" w:cs="Times New Roman" w:eastAsia="Times New Roman" w:hAnsi="Times New Roman"/>
          <w:sz w:val="18"/>
          <w:szCs w:val="18"/>
          <w:color w:val="auto"/>
        </w:rPr>
        <w:t>. Notwithstanding any provision in Section 3.2 to the contrary, the terms of any outstanding Option or SAR may not be amended:</w:t>
      </w:r>
    </w:p>
    <w:p>
      <w:pPr>
        <w:spacing w:after="0" w:line="27" w:lineRule="exact"/>
        <w:rPr>
          <w:sz w:val="20"/>
          <w:szCs w:val="20"/>
          <w:color w:val="auto"/>
        </w:rPr>
      </w:pPr>
    </w:p>
    <w:p>
      <w:pPr>
        <w:ind w:right="40" w:firstLine="8"/>
        <w:spacing w:after="0" w:line="252"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Exercise Price of such Option or SAR, (ii)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or (iii) take any other action with respect to an Option or SAR that would be treated as a repricing under the rules and regulations on the principal securities exchange on which the Shares are traded, in each case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7"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 Available for Grants</w:t>
      </w:r>
      <w:r>
        <w:rPr>
          <w:rFonts w:ascii="Times New Roman" w:cs="Times New Roman" w:eastAsia="Times New Roman" w:hAnsi="Times New Roman"/>
          <w:sz w:val="18"/>
          <w:szCs w:val="18"/>
          <w:color w:val="auto"/>
        </w:rPr>
        <w:t>. Subject to adjustment as provided in Section 4.2 and the share counting provisions in this Section 4.1, and except as provided in Section 5.6(b), as of the Effective Date, the maximum number of Shares hereby reserved for delivery pursuant to Awards granted under the Plan shall be 8,750,000 Shares. Up to a maximum of 8,750,000 Shares may be delivered pursuant to the exercise of Incentive Stock Options granted hereunder.</w:t>
      </w:r>
    </w:p>
    <w:p>
      <w:pPr>
        <w:spacing w:after="0" w:line="180"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If any Shares subject to an Award granted hereunder (other than a Substitute Award granted pursuant to Section 5.6(b)) are forfeited or such Award otherwise terminates without payment or delivery of all or a portion of such Shares (including on payment in Shares on exercise of a SAR), the Shares subject to such Award, to the extent of any such forfeiture or termination, shall again be available for grant under the Plan. In the event that any Shares subject to an Award granted hereunder are withheld or applied as payment (either actually or by attestation) in connection with the exercise of an Award or the withholding or payment of taxes related thereto (“Returned Shares”), such Returned Shares will not be treated as having been delivered for purposes of determining the maximum number of Shares available for grant under the Plan and shall again be treated as available for grant under the Plan.</w:t>
      </w:r>
    </w:p>
    <w:p>
      <w:pPr>
        <w:spacing w:after="0" w:line="187"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Shares delivered pursuant to the Plan may be, in whole or in part, authorized and unissued Shares, or treasury Shares, including Shares repurchased by the Company for purposes of the Plan.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Adjustments in Authorized Shares and Awards; Corporate Transaction, Liquidation or Dissolution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3" w:lineRule="auto"/>
        <w:tabs>
          <w:tab w:leader="none" w:pos="11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Authorized Shares and Awards</w:t>
      </w:r>
      <w:r>
        <w:rPr>
          <w:rFonts w:ascii="Times New Roman" w:cs="Times New Roman" w:eastAsia="Times New Roman" w:hAnsi="Times New Roman"/>
          <w:sz w:val="18"/>
          <w:szCs w:val="18"/>
          <w:color w:val="auto"/>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number of Shares subject to any Award denominated in Shares shall always be a whole number.</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 w:name="page12"/>
    <w:bookmarkEnd w:id="11"/>
    <w:p>
      <w:pPr>
        <w:ind w:firstLine="889"/>
        <w:spacing w:after="0" w:line="253" w:lineRule="auto"/>
        <w:tabs>
          <w:tab w:leader="none" w:pos="11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or Similar Corporate Transaction</w:t>
      </w:r>
      <w:r>
        <w:rPr>
          <w:rFonts w:ascii="Times New Roman" w:cs="Times New Roman" w:eastAsia="Times New Roman" w:hAnsi="Times New Roman"/>
          <w:sz w:val="18"/>
          <w:szCs w:val="18"/>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187" w:lineRule="exact"/>
        <w:rPr>
          <w:rFonts w:ascii="Times New Roman" w:cs="Times New Roman" w:eastAsia="Times New Roman" w:hAnsi="Times New Roman"/>
          <w:sz w:val="18"/>
          <w:szCs w:val="18"/>
          <w:color w:val="auto"/>
        </w:rPr>
      </w:pPr>
    </w:p>
    <w:p>
      <w:pPr>
        <w:ind w:right="60" w:firstLine="889"/>
        <w:spacing w:after="0" w:line="256" w:lineRule="auto"/>
        <w:tabs>
          <w:tab w:leader="none" w:pos="11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or Dissolution of the Company</w:t>
      </w:r>
      <w:r>
        <w:rPr>
          <w:rFonts w:ascii="Times New Roman" w:cs="Times New Roman" w:eastAsia="Times New Roman" w:hAnsi="Times New Roman"/>
          <w:sz w:val="18"/>
          <w:szCs w:val="18"/>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87" w:lineRule="exact"/>
        <w:rPr>
          <w:rFonts w:ascii="Times New Roman" w:cs="Times New Roman" w:eastAsia="Times New Roman" w:hAnsi="Times New Roman"/>
          <w:sz w:val="18"/>
          <w:szCs w:val="18"/>
          <w:color w:val="auto"/>
        </w:rPr>
      </w:pPr>
    </w:p>
    <w:p>
      <w:pPr>
        <w:ind w:right="60" w:firstLine="889"/>
        <w:spacing w:after="0" w:line="266" w:lineRule="auto"/>
        <w:tabs>
          <w:tab w:leader="none" w:pos="11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Compensation</w:t>
      </w:r>
      <w:r>
        <w:rPr>
          <w:rFonts w:ascii="Times New Roman" w:cs="Times New Roman" w:eastAsia="Times New Roman" w:hAnsi="Times New Roman"/>
          <w:sz w:val="18"/>
          <w:szCs w:val="18"/>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AND GENERAL CONDITIONS OF AWARDS</w:t>
      </w:r>
    </w:p>
    <w:p>
      <w:pPr>
        <w:spacing w:after="0" w:line="207"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To the extent not set forth in the Plan, the terms and conditions of each Award shall be set forth in an Award Agreement.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General Terms and Termination of Affiliation</w:t>
      </w:r>
      <w:r>
        <w:rPr>
          <w:rFonts w:ascii="Times New Roman" w:cs="Times New Roman" w:eastAsia="Times New Roman" w:hAnsi="Times New Roman"/>
          <w:sz w:val="18"/>
          <w:szCs w:val="18"/>
          <w:color w:val="auto"/>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Nontransferability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889"/>
        <w:spacing w:after="0" w:line="266" w:lineRule="auto"/>
        <w:tabs>
          <w:tab w:leader="none" w:pos="11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175" w:lineRule="exact"/>
        <w:rPr>
          <w:rFonts w:ascii="Times New Roman" w:cs="Times New Roman" w:eastAsia="Times New Roman" w:hAnsi="Times New Roman"/>
          <w:sz w:val="18"/>
          <w:szCs w:val="18"/>
          <w:color w:val="auto"/>
        </w:rPr>
      </w:pPr>
    </w:p>
    <w:p>
      <w:pPr>
        <w:jc w:val="both"/>
        <w:ind w:right="40" w:firstLine="889"/>
        <w:spacing w:after="0" w:line="258" w:lineRule="auto"/>
        <w:tabs>
          <w:tab w:leader="none" w:pos="11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183" w:lineRule="exact"/>
        <w:rPr>
          <w:rFonts w:ascii="Times New Roman" w:cs="Times New Roman" w:eastAsia="Times New Roman" w:hAnsi="Times New Roman"/>
          <w:sz w:val="18"/>
          <w:szCs w:val="18"/>
          <w:color w:val="auto"/>
        </w:rPr>
      </w:pPr>
    </w:p>
    <w:p>
      <w:pPr>
        <w:ind w:right="20" w:firstLine="889"/>
        <w:spacing w:after="0" w:line="253" w:lineRule="auto"/>
        <w:tabs>
          <w:tab w:leader="none" w:pos="11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89"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construed as requiring the Committee to honor a QDRO except to the extent required under applicable law.</w:t>
      </w:r>
    </w:p>
    <w:p>
      <w:pPr>
        <w:spacing w:after="0" w:line="225"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Cancellation and Rescission of Awards</w:t>
      </w:r>
      <w:r>
        <w:rPr>
          <w:rFonts w:ascii="Times New Roman" w:cs="Times New Roman" w:eastAsia="Times New Roman" w:hAnsi="Times New Roman"/>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Stand-Alone, Tandem and Substitute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69" w:lineRule="auto"/>
        <w:tabs>
          <w:tab w:leader="none" w:pos="112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w:t>
      </w:r>
    </w:p>
    <w:p>
      <w:pPr>
        <w:spacing w:after="0" w:line="2" w:lineRule="exact"/>
        <w:rPr>
          <w:rFonts w:ascii="Times New Roman" w:cs="Times New Roman" w:eastAsia="Times New Roman" w:hAnsi="Times New Roman"/>
          <w:sz w:val="17"/>
          <w:szCs w:val="17"/>
          <w:color w:val="auto"/>
        </w:rPr>
      </w:pPr>
    </w:p>
    <w:p>
      <w:pPr>
        <w:ind w:right="2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 w:name="page14"/>
    <w:bookmarkEnd w:id="13"/>
    <w:p>
      <w:pPr>
        <w:ind w:right="100" w:firstLine="889"/>
        <w:spacing w:after="0" w:line="254" w:lineRule="auto"/>
        <w:tabs>
          <w:tab w:leader="none" w:pos="11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192"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Compliance with Rule 16b-3</w:t>
      </w:r>
      <w:r>
        <w:rPr>
          <w:rFonts w:ascii="Times New Roman" w:cs="Times New Roman" w:eastAsia="Times New Roman" w:hAnsi="Times New Roman"/>
          <w:sz w:val="18"/>
          <w:szCs w:val="18"/>
          <w:color w:val="auto"/>
        </w:rPr>
        <w:t>. The provisions of this Section 5.7will not apply unless and until the Company has a class of stock that is registered under Section 12 of the Exchange Act.</w:t>
      </w:r>
    </w:p>
    <w:p>
      <w:pPr>
        <w:spacing w:after="0" w:line="162" w:lineRule="exact"/>
        <w:rPr>
          <w:sz w:val="20"/>
          <w:szCs w:val="20"/>
          <w:color w:val="auto"/>
        </w:rPr>
      </w:pPr>
    </w:p>
    <w:p>
      <w:pPr>
        <w:ind w:right="200" w:firstLine="889"/>
        <w:spacing w:after="0" w:line="256" w:lineRule="auto"/>
        <w:tabs>
          <w:tab w:leader="none" w:pos="11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Six-Month Holding Period Advice</w:t>
      </w:r>
      <w:r>
        <w:rPr>
          <w:rFonts w:ascii="Times New Roman" w:cs="Times New Roman" w:eastAsia="Times New Roman" w:hAnsi="Times New Roman"/>
          <w:sz w:val="18"/>
          <w:szCs w:val="18"/>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187" w:lineRule="exact"/>
        <w:rPr>
          <w:rFonts w:ascii="Times New Roman" w:cs="Times New Roman" w:eastAsia="Times New Roman" w:hAnsi="Times New Roman"/>
          <w:sz w:val="18"/>
          <w:szCs w:val="18"/>
          <w:color w:val="auto"/>
        </w:rPr>
      </w:pPr>
    </w:p>
    <w:p>
      <w:pPr>
        <w:ind w:firstLine="889"/>
        <w:spacing w:after="0" w:line="258" w:lineRule="auto"/>
        <w:tabs>
          <w:tab w:leader="none" w:pos="11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Reformation to Comply with Exchange Act Rules</w:t>
      </w:r>
      <w:r>
        <w:rPr>
          <w:rFonts w:ascii="Times New Roman" w:cs="Times New Roman" w:eastAsia="Times New Roman" w:hAnsi="Times New Roman"/>
          <w:sz w:val="18"/>
          <w:szCs w:val="18"/>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183" w:lineRule="exact"/>
        <w:rPr>
          <w:rFonts w:ascii="Times New Roman" w:cs="Times New Roman" w:eastAsia="Times New Roman" w:hAnsi="Times New Roman"/>
          <w:sz w:val="18"/>
          <w:szCs w:val="18"/>
          <w:color w:val="auto"/>
        </w:rPr>
      </w:pPr>
    </w:p>
    <w:p>
      <w:pPr>
        <w:ind w:right="120" w:firstLine="889"/>
        <w:spacing w:after="0" w:line="277" w:lineRule="auto"/>
        <w:tabs>
          <w:tab w:leader="none" w:pos="112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16b-3 Administration</w:t>
      </w:r>
      <w:r>
        <w:rPr>
          <w:rFonts w:ascii="Times New Roman" w:cs="Times New Roman" w:eastAsia="Times New Roman" w:hAnsi="Times New Roman"/>
          <w:sz w:val="17"/>
          <w:szCs w:val="17"/>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68"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Deferral of Award Payouts</w:t>
      </w:r>
      <w:r>
        <w:rPr>
          <w:rFonts w:ascii="Times New Roman" w:cs="Times New Roman" w:eastAsia="Times New Roman" w:hAnsi="Times New Roman"/>
          <w:sz w:val="18"/>
          <w:szCs w:val="18"/>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7"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162"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76"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The Exercise Price of an Option under this Plan shall be determined in the sole discretion of the Committee but may not be less than 100% of the Fair Market Value of a Share on the Grant Date (other than in the case of Substitute Awards).</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Grant of Incentive Stock Options</w:t>
      </w:r>
      <w:r>
        <w:rPr>
          <w:rFonts w:ascii="Times New Roman" w:cs="Times New Roman" w:eastAsia="Times New Roman" w:hAnsi="Times New Roman"/>
          <w:sz w:val="18"/>
          <w:szCs w:val="18"/>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62" w:lineRule="exact"/>
        <w:rPr>
          <w:sz w:val="20"/>
          <w:szCs w:val="20"/>
          <w:color w:val="auto"/>
        </w:rPr>
      </w:pPr>
    </w:p>
    <w:p>
      <w:pPr>
        <w:ind w:left="1140" w:hanging="25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granted only to an employee of the Company or a Subsidiary Corporation;</w:t>
      </w:r>
    </w:p>
    <w:p>
      <w:pPr>
        <w:spacing w:after="0" w:line="225" w:lineRule="exact"/>
        <w:rPr>
          <w:rFonts w:ascii="Times New Roman" w:cs="Times New Roman" w:eastAsia="Times New Roman" w:hAnsi="Times New Roman"/>
          <w:sz w:val="18"/>
          <w:szCs w:val="18"/>
          <w:color w:val="auto"/>
        </w:rPr>
      </w:pPr>
    </w:p>
    <w:p>
      <w:pPr>
        <w:jc w:val="both"/>
        <w:ind w:right="180" w:firstLine="889"/>
        <w:spacing w:after="0" w:line="261" w:lineRule="auto"/>
        <w:tabs>
          <w:tab w:leader="none" w:pos="1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179" w:lineRule="exact"/>
        <w:rPr>
          <w:rFonts w:ascii="Times New Roman" w:cs="Times New Roman" w:eastAsia="Times New Roman" w:hAnsi="Times New Roman"/>
          <w:sz w:val="18"/>
          <w:szCs w:val="18"/>
          <w:color w:val="auto"/>
        </w:rPr>
      </w:pPr>
    </w:p>
    <w:p>
      <w:pPr>
        <w:ind w:right="420" w:firstLine="889"/>
        <w:spacing w:after="0" w:line="282" w:lineRule="auto"/>
        <w:tabs>
          <w:tab w:leader="none" w:pos="11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161" w:lineRule="exact"/>
        <w:rPr>
          <w:rFonts w:ascii="Times New Roman" w:cs="Times New Roman" w:eastAsia="Times New Roman" w:hAnsi="Times New Roman"/>
          <w:sz w:val="18"/>
          <w:szCs w:val="18"/>
          <w:color w:val="auto"/>
        </w:rPr>
      </w:pPr>
    </w:p>
    <w:p>
      <w:pPr>
        <w:ind w:right="120" w:firstLine="889"/>
        <w:spacing w:after="0" w:line="261" w:lineRule="auto"/>
        <w:tabs>
          <w:tab w:leader="none" w:pos="1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179" w:lineRule="exact"/>
        <w:rPr>
          <w:rFonts w:ascii="Times New Roman" w:cs="Times New Roman" w:eastAsia="Times New Roman" w:hAnsi="Times New Roman"/>
          <w:sz w:val="18"/>
          <w:szCs w:val="18"/>
          <w:color w:val="auto"/>
        </w:rPr>
      </w:pPr>
    </w:p>
    <w:p>
      <w:pPr>
        <w:ind w:right="60" w:firstLine="889"/>
        <w:spacing w:after="0" w:line="261" w:lineRule="auto"/>
        <w:tabs>
          <w:tab w:leader="none" w:pos="11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179" w:lineRule="exact"/>
        <w:rPr>
          <w:rFonts w:ascii="Times New Roman" w:cs="Times New Roman" w:eastAsia="Times New Roman" w:hAnsi="Times New Roman"/>
          <w:sz w:val="18"/>
          <w:szCs w:val="18"/>
          <w:color w:val="auto"/>
        </w:rPr>
      </w:pPr>
    </w:p>
    <w:p>
      <w:pPr>
        <w:ind w:right="60" w:firstLine="889"/>
        <w:spacing w:after="0" w:line="266" w:lineRule="auto"/>
        <w:tabs>
          <w:tab w:leader="none" w:pos="11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175" w:lineRule="exact"/>
        <w:rPr>
          <w:rFonts w:ascii="Times New Roman" w:cs="Times New Roman" w:eastAsia="Times New Roman" w:hAnsi="Times New Roman"/>
          <w:sz w:val="18"/>
          <w:szCs w:val="18"/>
          <w:color w:val="auto"/>
        </w:rPr>
      </w:pPr>
    </w:p>
    <w:p>
      <w:pPr>
        <w:ind w:right="220" w:firstLine="889"/>
        <w:spacing w:after="0" w:line="266" w:lineRule="auto"/>
        <w:tabs>
          <w:tab w:leader="none" w:pos="1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175" w:lineRule="exact"/>
        <w:rPr>
          <w:rFonts w:ascii="Times New Roman" w:cs="Times New Roman" w:eastAsia="Times New Roman" w:hAnsi="Times New Roman"/>
          <w:sz w:val="18"/>
          <w:szCs w:val="18"/>
          <w:color w:val="auto"/>
        </w:rPr>
      </w:pPr>
    </w:p>
    <w:p>
      <w:pPr>
        <w:jc w:val="both"/>
        <w:ind w:firstLine="889"/>
        <w:spacing w:after="0" w:line="266" w:lineRule="auto"/>
        <w:tabs>
          <w:tab w:leader="none" w:pos="1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7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62"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1140" w:hanging="25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personal check or wire transfer;</w:t>
      </w:r>
    </w:p>
    <w:p>
      <w:pPr>
        <w:spacing w:after="0" w:line="225" w:lineRule="exact"/>
        <w:rPr>
          <w:rFonts w:ascii="Times New Roman" w:cs="Times New Roman" w:eastAsia="Times New Roman" w:hAnsi="Times New Roman"/>
          <w:sz w:val="18"/>
          <w:szCs w:val="18"/>
          <w:color w:val="auto"/>
        </w:rPr>
      </w:pPr>
    </w:p>
    <w:p>
      <w:pPr>
        <w:ind w:right="40" w:firstLine="889"/>
        <w:spacing w:after="0" w:line="282" w:lineRule="auto"/>
        <w:tabs>
          <w:tab w:leader="none" w:pos="1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delivery of Common Stock owned by the Grantee prior to exercise, valued at Fair Market Value on the date of exercise;</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Shares acquired upon the exercise of such Option, such Shares valued at Fair Market Value on the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exercise;</w:t>
      </w:r>
    </w:p>
    <w:p>
      <w:pPr>
        <w:spacing w:after="0" w:line="206" w:lineRule="exact"/>
        <w:rPr>
          <w:rFonts w:ascii="Times New Roman" w:cs="Times New Roman" w:eastAsia="Times New Roman" w:hAnsi="Times New Roman"/>
          <w:sz w:val="18"/>
          <w:szCs w:val="18"/>
          <w:color w:val="auto"/>
        </w:rPr>
      </w:pPr>
    </w:p>
    <w:p>
      <w:pPr>
        <w:ind w:right="120" w:firstLine="889"/>
        <w:spacing w:after="0" w:line="282" w:lineRule="auto"/>
        <w:tabs>
          <w:tab w:leader="none" w:pos="1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Restricted Shares held by the Grantee prior to the exercise of the Option, valued at Fair Market Value on the date of exercise; or</w:t>
      </w:r>
    </w:p>
    <w:p>
      <w:pPr>
        <w:spacing w:after="0" w:line="161" w:lineRule="exact"/>
        <w:rPr>
          <w:rFonts w:ascii="Times New Roman" w:cs="Times New Roman" w:eastAsia="Times New Roman" w:hAnsi="Times New Roman"/>
          <w:sz w:val="18"/>
          <w:szCs w:val="18"/>
          <w:color w:val="auto"/>
        </w:rPr>
      </w:pPr>
    </w:p>
    <w:p>
      <w:pPr>
        <w:ind w:right="60" w:firstLine="889"/>
        <w:spacing w:after="0" w:line="261" w:lineRule="auto"/>
        <w:tabs>
          <w:tab w:leader="none" w:pos="11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180"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07" w:lineRule="exact"/>
        <w:rPr>
          <w:sz w:val="20"/>
          <w:szCs w:val="20"/>
          <w:color w:val="auto"/>
        </w:rPr>
      </w:pPr>
    </w:p>
    <w:p>
      <w:pPr>
        <w:ind w:right="160" w:firstLine="441"/>
        <w:spacing w:after="0" w:line="289"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Issuance</w:t>
      </w:r>
      <w:r>
        <w:rPr>
          <w:rFonts w:ascii="Times New Roman" w:cs="Times New Roman" w:eastAsia="Times New Roman" w:hAnsi="Times New Roman"/>
          <w:sz w:val="17"/>
          <w:szCs w:val="17"/>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158"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62"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SAR Exercise Price</w:t>
      </w:r>
      <w:r>
        <w:rPr>
          <w:rFonts w:ascii="Times New Roman" w:cs="Times New Roman" w:eastAsia="Times New Roman" w:hAnsi="Times New Roman"/>
          <w:sz w:val="18"/>
          <w:szCs w:val="18"/>
          <w:color w:val="auto"/>
        </w:rPr>
        <w:t>. The Exercise Price of a SAR shall be determined by the Committee in its sole discretion; provided that the Exercise Price shall not be less than 100% of the Fair Market Value of a Share on the date of the grant of the SAR (other than in the case of Substitute Awards).</w:t>
      </w:r>
    </w:p>
    <w:p>
      <w:pPr>
        <w:spacing w:after="0" w:line="162"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Upon the exercise of an SAR, a Grantee shall be entitled to receive payment from the Company in an amount determined by multiplying:</w:t>
      </w:r>
    </w:p>
    <w:p>
      <w:pPr>
        <w:spacing w:after="0" w:line="162" w:lineRule="exact"/>
        <w:rPr>
          <w:sz w:val="20"/>
          <w:szCs w:val="20"/>
          <w:color w:val="auto"/>
        </w:rPr>
      </w:pPr>
    </w:p>
    <w:p>
      <w:pPr>
        <w:ind w:left="1140" w:hanging="251"/>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a Share on the date of exercise over the Exercise Price; by</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SAR is exercised.</w:t>
      </w:r>
    </w:p>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0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Shares</w:t>
      </w:r>
      <w:r>
        <w:rPr>
          <w:rFonts w:ascii="Times New Roman" w:cs="Times New Roman" w:eastAsia="Times New Roman" w:hAnsi="Times New Roman"/>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6" w:name="page17"/>
    <w:bookmarkEnd w:id="16"/>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Consideration for Restricted Shares</w:t>
      </w:r>
      <w:r>
        <w:rPr>
          <w:rFonts w:ascii="Times New Roman" w:cs="Times New Roman" w:eastAsia="Times New Roman" w:hAnsi="Times New Roman"/>
          <w:sz w:val="18"/>
          <w:szCs w:val="18"/>
          <w:color w:val="auto"/>
        </w:rPr>
        <w:t>. The Committee shall determine the amount, if any, that a Grantee shall pay for Restricted Shares.</w:t>
      </w:r>
    </w:p>
    <w:p>
      <w:pPr>
        <w:spacing w:after="0" w:line="22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Effect of Forfeiture</w:t>
      </w:r>
      <w:r>
        <w:rPr>
          <w:rFonts w:ascii="Times New Roman" w:cs="Times New Roman" w:eastAsia="Times New Roman" w:hAnsi="Times New Roman"/>
          <w:sz w:val="18"/>
          <w:szCs w:val="18"/>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187" w:lineRule="exact"/>
        <w:rPr>
          <w:sz w:val="20"/>
          <w:szCs w:val="20"/>
          <w:color w:val="auto"/>
        </w:rPr>
      </w:pPr>
    </w:p>
    <w:p>
      <w:pPr>
        <w:ind w:right="280" w:firstLine="441"/>
        <w:spacing w:after="0" w:line="27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Escrow; Legends</w:t>
      </w:r>
      <w:r>
        <w:rPr>
          <w:rFonts w:ascii="Times New Roman" w:cs="Times New Roman" w:eastAsia="Times New Roman" w:hAnsi="Times New Roman"/>
          <w:sz w:val="17"/>
          <w:szCs w:val="17"/>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spacing w:after="0" w:line="1" w:lineRule="exact"/>
        <w:rPr>
          <w:sz w:val="20"/>
          <w:szCs w:val="20"/>
          <w:color w:val="auto"/>
        </w:rPr>
      </w:pPr>
    </w:p>
    <w:p>
      <w:pPr>
        <w:ind w:right="280" w:firstLine="8"/>
        <w:spacing w:after="0" w:line="26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UNITS AND PERFORMANCE SHARES</w:t>
      </w:r>
    </w:p>
    <w:p>
      <w:pPr>
        <w:spacing w:after="0" w:line="207" w:lineRule="exact"/>
        <w:rPr>
          <w:sz w:val="20"/>
          <w:szCs w:val="20"/>
          <w:color w:val="auto"/>
        </w:rPr>
      </w:pPr>
    </w:p>
    <w:p>
      <w:pPr>
        <w:ind w:right="5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Grant of Performance Units and Performance Shares</w:t>
      </w:r>
      <w:r>
        <w:rPr>
          <w:rFonts w:ascii="Times New Roman" w:cs="Times New Roman" w:eastAsia="Times New Roman" w:hAnsi="Times New Roman"/>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7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Value/Performance Goals</w:t>
      </w:r>
      <w:r>
        <w:rPr>
          <w:rFonts w:ascii="Times New Roman" w:cs="Times New Roman" w:eastAsia="Times New Roman" w:hAnsi="Times New Roman"/>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162" w:lineRule="exact"/>
        <w:rPr>
          <w:sz w:val="20"/>
          <w:szCs w:val="20"/>
          <w:color w:val="auto"/>
        </w:rPr>
      </w:pPr>
    </w:p>
    <w:p>
      <w:pPr>
        <w:ind w:left="1140" w:hanging="25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Each Performance Unit shall have an initial value that is established by the Committee at the time of grant.</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Each Performance Share shall have an initial value equal to the Fair Market Value of a Share on the date of grant.</w:t>
      </w:r>
    </w:p>
    <w:p>
      <w:pPr>
        <w:spacing w:after="0" w:line="225"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Earning of Performance Units and Performance Shares</w:t>
      </w:r>
      <w:r>
        <w:rPr>
          <w:rFonts w:ascii="Times New Roman" w:cs="Times New Roman" w:eastAsia="Times New Roman" w:hAnsi="Times New Roman"/>
          <w:sz w:val="18"/>
          <w:szCs w:val="18"/>
          <w:color w:val="auto"/>
        </w:rPr>
        <w:t>. After the applicable Performance Period has ended, the holder of Performance Units or Performance Shares shall be entitled to payment based on the level of achievement of performance goals set by the Committee. At the discretion of the Committee, the settlement of Performance Units or Performance Shares may be in cash, Shares of equivalent value, or in some combination thereof, as set forth in the Award Agreement.</w:t>
      </w:r>
    </w:p>
    <w:p>
      <w:pPr>
        <w:spacing w:after="0" w:line="18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Subject to Article 11 and Section 18.6, 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DEFERRED STOCK AND RESTRICTED STOCK UNITS</w:t>
      </w:r>
    </w:p>
    <w:p>
      <w:pPr>
        <w:spacing w:after="0" w:line="207"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Grant of Deferred Stock and Restricted Stock Units</w:t>
      </w:r>
      <w:r>
        <w:rPr>
          <w:rFonts w:ascii="Times New Roman" w:cs="Times New Roman" w:eastAsia="Times New Roman" w:hAnsi="Times New Roman"/>
          <w:sz w:val="18"/>
          <w:szCs w:val="18"/>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Vesting and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889"/>
        <w:spacing w:after="0" w:line="254" w:lineRule="auto"/>
        <w:tabs>
          <w:tab w:leader="none" w:pos="11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with Respect to Deferred Stock</w:t>
      </w:r>
      <w:r>
        <w:rPr>
          <w:rFonts w:ascii="Times New Roman" w:cs="Times New Roman" w:eastAsia="Times New Roman" w:hAnsi="Times New Roman"/>
          <w:sz w:val="18"/>
          <w:szCs w:val="18"/>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9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with Respect to Restricted Stock Units</w:t>
      </w:r>
      <w:r>
        <w:rPr>
          <w:rFonts w:ascii="Times New Roman" w:cs="Times New Roman" w:eastAsia="Times New Roman" w:hAnsi="Times New Roman"/>
          <w:sz w:val="18"/>
          <w:szCs w:val="18"/>
          <w:color w:val="auto"/>
        </w:rPr>
        <w:t>. Delivery of Shares subject to a grant of Restricted Stock Units shall occur no later than the</w:t>
      </w:r>
    </w:p>
    <w:p>
      <w:pPr>
        <w:spacing w:after="0" w:line="2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200"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Voting and Dividend Equivalent Rights Attributable to Deferred Stock and Restricted Stock Units</w:t>
      </w:r>
      <w:r>
        <w:rPr>
          <w:rFonts w:ascii="Times New Roman" w:cs="Times New Roman" w:eastAsia="Times New Roman" w:hAnsi="Times New Roman"/>
          <w:sz w:val="18"/>
          <w:szCs w:val="18"/>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EQUIVALENTS</w:t>
      </w:r>
    </w:p>
    <w:p>
      <w:pPr>
        <w:spacing w:after="0" w:line="207"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no Dividend Equivalents shall be granted in conjunction with any Options or SARs. The timing of payment or distribution of Dividend Equivalents must comply with the requirements of Section 409A of the Code.</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BONUS SHARES</w:t>
      </w:r>
    </w:p>
    <w:p>
      <w:pPr>
        <w:spacing w:after="0" w:line="207"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STOCK-BASED AWARDS</w:t>
      </w:r>
    </w:p>
    <w:p>
      <w:pPr>
        <w:spacing w:after="0" w:line="207"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AWARDS</w:t>
      </w:r>
    </w:p>
    <w:p>
      <w:pPr>
        <w:spacing w:after="0" w:line="207"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Non-Employee Director Awards</w:t>
      </w:r>
      <w:r>
        <w:rPr>
          <w:rFonts w:ascii="Times New Roman" w:cs="Times New Roman" w:eastAsia="Times New Roman" w:hAnsi="Times New Roman"/>
          <w:sz w:val="18"/>
          <w:szCs w:val="18"/>
          <w:color w:val="auto"/>
        </w:rPr>
        <w:t>. Subject to the terms of the Plan, the Board may grant Awards to any Non-Employee Director, in such amount and upon such terms and at any time and from time to time as shall be determined by the full Board in its sole discretion. Except as otherwise provided in Section 5.6(b) and in this Article 14, a Non-Employee Director may not be granted Awards for cash or Shares that together with any awards made outside of the Plan have a Fair Market Value (determined as of the date of grant) in excess of (i) $1,000,000 in a single calendar year or (ii) $2,000,000 in the calendar year during which the Non-Employee Director was appointed to the Board.</w:t>
      </w:r>
    </w:p>
    <w:p>
      <w:pPr>
        <w:spacing w:after="0" w:line="183"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Lead Independent Director and Non-Employee Director Chair Awards</w:t>
      </w:r>
      <w:r>
        <w:rPr>
          <w:rFonts w:ascii="Times New Roman" w:cs="Times New Roman" w:eastAsia="Times New Roman" w:hAnsi="Times New Roman"/>
          <w:sz w:val="18"/>
          <w:szCs w:val="18"/>
          <w:color w:val="auto"/>
        </w:rPr>
        <w:t>. Except as otherwise provided in Section 5.6(b), a Lead Independent Director or Non-Employee Director Chair may not be granted Awards for cash or Shares that together with any awards made outside of the Plan have a Fair Market Value (determined as of the date of grant) in excess of $2,000,000 in a single calendar year.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7"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83"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WITH CODE SECTION 409A</w:t>
      </w:r>
    </w:p>
    <w:p>
      <w:pPr>
        <w:spacing w:after="0" w:line="207"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Awards Subject to Code Section 409A</w:t>
      </w:r>
      <w:r>
        <w:rPr>
          <w:rFonts w:ascii="Times New Roman" w:cs="Times New Roman" w:eastAsia="Times New Roman" w:hAnsi="Times New Roman"/>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176" w:lineRule="exact"/>
        <w:rPr>
          <w:sz w:val="20"/>
          <w:szCs w:val="20"/>
          <w:color w:val="auto"/>
        </w:rPr>
      </w:pPr>
    </w:p>
    <w:p>
      <w:pPr>
        <w:ind w:right="20" w:firstLine="441"/>
        <w:spacing w:after="0" w:line="276"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Deferral and/or Distribution Elections</w:t>
      </w:r>
      <w:r>
        <w:rPr>
          <w:rFonts w:ascii="Times New Roman" w:cs="Times New Roman" w:eastAsia="Times New Roman" w:hAnsi="Times New Roman"/>
          <w:sz w:val="17"/>
          <w:szCs w:val="17"/>
          <w:color w:val="auto"/>
        </w:rPr>
        <w:t>. Except as otherwise permitted or required by Code Section 409A, the following rules shall apply to any deferral and/or elections as to the form or timing of distributions (each, an “Election”) that may be permitted or required by the Committee with respect to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w:t>
      </w:r>
    </w:p>
    <w:p>
      <w:pPr>
        <w:spacing w:after="0" w:line="207" w:lineRule="exact"/>
        <w:rPr>
          <w:sz w:val="20"/>
          <w:szCs w:val="20"/>
          <w:color w:val="auto"/>
        </w:rPr>
      </w:pPr>
    </w:p>
    <w:p>
      <w:pPr>
        <w:ind w:right="920" w:firstLine="889"/>
        <w:spacing w:after="0" w:line="312" w:lineRule="auto"/>
        <w:tabs>
          <w:tab w:leader="none" w:pos="112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39" w:lineRule="exact"/>
        <w:rPr>
          <w:rFonts w:ascii="Times New Roman" w:cs="Times New Roman" w:eastAsia="Times New Roman" w:hAnsi="Times New Roman"/>
          <w:sz w:val="17"/>
          <w:szCs w:val="17"/>
          <w:color w:val="auto"/>
        </w:rPr>
      </w:pPr>
    </w:p>
    <w:p>
      <w:pPr>
        <w:jc w:val="both"/>
        <w:ind w:firstLine="889"/>
        <w:spacing w:after="0" w:line="261" w:lineRule="auto"/>
        <w:tabs>
          <w:tab w:leader="none" w:pos="11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79" w:lineRule="exact"/>
        <w:rPr>
          <w:rFonts w:ascii="Times New Roman" w:cs="Times New Roman" w:eastAsia="Times New Roman" w:hAnsi="Times New Roman"/>
          <w:sz w:val="18"/>
          <w:szCs w:val="18"/>
          <w:color w:val="auto"/>
        </w:rPr>
      </w:pPr>
    </w:p>
    <w:p>
      <w:pPr>
        <w:ind w:right="100" w:firstLine="889"/>
        <w:spacing w:after="0" w:line="282" w:lineRule="auto"/>
        <w:tabs>
          <w:tab w:leader="none" w:pos="11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Subsequent Elections</w:t>
      </w:r>
      <w:r>
        <w:rPr>
          <w:rFonts w:ascii="Times New Roman" w:cs="Times New Roman" w:eastAsia="Times New Roman" w:hAnsi="Times New Roman"/>
          <w:sz w:val="18"/>
          <w:szCs w:val="18"/>
          <w:color w:val="auto"/>
        </w:rPr>
        <w:t>. Except as otherwise permitted or required by Code Section 409A, any 409A Award which permits a subsequent Election to further defer the distribution or change the form of distribution shall comply with the following requirements:</w:t>
      </w:r>
    </w:p>
    <w:p>
      <w:pPr>
        <w:spacing w:after="0" w:line="162" w:lineRule="exact"/>
        <w:rPr>
          <w:sz w:val="20"/>
          <w:szCs w:val="20"/>
          <w:color w:val="auto"/>
        </w:rPr>
      </w:pPr>
    </w:p>
    <w:p>
      <w:pPr>
        <w:ind w:left="1140" w:hanging="251"/>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may take effect until at least twelve (12) months after the date on which the subsequent Election is made;</w:t>
      </w:r>
    </w:p>
    <w:p>
      <w:pPr>
        <w:spacing w:after="0" w:line="225" w:lineRule="exact"/>
        <w:rPr>
          <w:rFonts w:ascii="Times New Roman" w:cs="Times New Roman" w:eastAsia="Times New Roman" w:hAnsi="Times New Roman"/>
          <w:sz w:val="18"/>
          <w:szCs w:val="18"/>
          <w:color w:val="auto"/>
        </w:rPr>
      </w:pPr>
    </w:p>
    <w:p>
      <w:pPr>
        <w:ind w:right="280" w:firstLine="889"/>
        <w:spacing w:after="0" w:line="282" w:lineRule="auto"/>
        <w:tabs>
          <w:tab w:leader="none" w:pos="11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61" w:lineRule="exact"/>
        <w:rPr>
          <w:rFonts w:ascii="Times New Roman" w:cs="Times New Roman" w:eastAsia="Times New Roman" w:hAnsi="Times New Roman"/>
          <w:sz w:val="18"/>
          <w:szCs w:val="18"/>
          <w:color w:val="auto"/>
        </w:rPr>
      </w:pPr>
    </w:p>
    <w:p>
      <w:pPr>
        <w:ind w:right="520" w:firstLine="889"/>
        <w:spacing w:after="0" w:line="282" w:lineRule="auto"/>
        <w:tabs>
          <w:tab w:leader="none" w:pos="11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Distributions Pursuant to Deferral Elections</w:t>
      </w:r>
      <w:r>
        <w:rPr>
          <w:rFonts w:ascii="Times New Roman" w:cs="Times New Roman" w:eastAsia="Times New Roman" w:hAnsi="Times New Roman"/>
          <w:sz w:val="18"/>
          <w:szCs w:val="18"/>
          <w:color w:val="auto"/>
        </w:rPr>
        <w:t>. Except as otherwise permitted or required by Code Section 409A, no distribution in settlement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 may commence earlier than:</w:t>
      </w:r>
    </w:p>
    <w:p>
      <w:pPr>
        <w:spacing w:after="0" w:line="207" w:lineRule="exact"/>
        <w:rPr>
          <w:sz w:val="20"/>
          <w:szCs w:val="20"/>
          <w:color w:val="auto"/>
        </w:rPr>
      </w:pPr>
    </w:p>
    <w:p>
      <w:pPr>
        <w:ind w:left="1140" w:hanging="25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Participant becomes Disabled (as defined in Section 2.15(b);</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death;</w:t>
      </w:r>
    </w:p>
    <w:p>
      <w:pPr>
        <w:spacing w:after="0" w:line="225" w:lineRule="exact"/>
        <w:rPr>
          <w:rFonts w:ascii="Times New Roman" w:cs="Times New Roman" w:eastAsia="Times New Roman" w:hAnsi="Times New Roman"/>
          <w:sz w:val="18"/>
          <w:szCs w:val="18"/>
          <w:color w:val="auto"/>
        </w:rPr>
      </w:pPr>
    </w:p>
    <w:p>
      <w:pPr>
        <w:ind w:right="160" w:firstLine="889"/>
        <w:spacing w:after="0" w:line="282" w:lineRule="auto"/>
        <w:tabs>
          <w:tab w:leader="none" w:pos="11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ownership of the Company or a substantial portion of its assets within the meaning of Treasury Regulation Section 1.409A-3(i)</w:t>
      </w:r>
    </w:p>
    <w:p>
      <w:pPr>
        <w:spacing w:after="0" w:line="27" w:lineRule="exact"/>
        <w:rPr>
          <w:rFonts w:ascii="Times New Roman" w:cs="Times New Roman" w:eastAsia="Times New Roman" w:hAnsi="Times New Roman"/>
          <w:sz w:val="18"/>
          <w:szCs w:val="18"/>
          <w:color w:val="auto"/>
        </w:rPr>
      </w:pPr>
    </w:p>
    <w:p>
      <w:pPr>
        <w:ind w:righ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(5)(v) or (vii) or a change in effective control of the Company within the meaning of Treasury Regulation Section 1.409A-3(i)(5)(vi) (a “Change in Control”).</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Six Month Delay</w:t>
      </w:r>
      <w:r>
        <w:rPr>
          <w:rFonts w:ascii="Times New Roman" w:cs="Times New Roman" w:eastAsia="Times New Roman" w:hAnsi="Times New Roman"/>
          <w:sz w:val="18"/>
          <w:szCs w:val="18"/>
          <w:color w:val="auto"/>
        </w:rPr>
        <w:t>. Notwithstanding anything herein or in any Award Agreement or Election to the contrary, to the extent that distribution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 is triggered by a Grantee’s Separation from Service, if the Grantee is then a “specified employee” (as defined in Treasury</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Regulation Section 1.409A-1(i)), no distribution may be made before the date which is six (6) months after such Grantee’s Separation from Service, or, if earlier, the date of the Grantee’s death.</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both"/>
        <w:ind w:right="2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180" w:lineRule="exact"/>
        <w:rPr>
          <w:sz w:val="20"/>
          <w:szCs w:val="20"/>
          <w:color w:val="auto"/>
        </w:rPr>
      </w:pPr>
    </w:p>
    <w:p>
      <w:pPr>
        <w:jc w:val="both"/>
        <w:ind w:right="2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No Acceleration of Distributions</w:t>
      </w:r>
      <w:r>
        <w:rPr>
          <w:rFonts w:ascii="Times New Roman" w:cs="Times New Roman" w:eastAsia="Times New Roman" w:hAnsi="Times New Roman"/>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WITHHOLDING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Required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8" w:lineRule="auto"/>
        <w:tabs>
          <w:tab w:leader="none" w:pos="11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183" w:lineRule="exact"/>
        <w:rPr>
          <w:rFonts w:ascii="Times New Roman" w:cs="Times New Roman" w:eastAsia="Times New Roman" w:hAnsi="Times New Roman"/>
          <w:sz w:val="18"/>
          <w:szCs w:val="18"/>
          <w:color w:val="auto"/>
        </w:rPr>
      </w:pPr>
    </w:p>
    <w:p>
      <w:pPr>
        <w:ind w:left="880" w:right="40" w:firstLine="450"/>
        <w:spacing w:after="0" w:line="266" w:lineRule="auto"/>
        <w:tabs>
          <w:tab w:leader="none" w:pos="15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175" w:lineRule="exact"/>
        <w:rPr>
          <w:rFonts w:ascii="Times New Roman" w:cs="Times New Roman" w:eastAsia="Times New Roman" w:hAnsi="Times New Roman"/>
          <w:sz w:val="18"/>
          <w:szCs w:val="18"/>
          <w:color w:val="auto"/>
        </w:rPr>
      </w:pPr>
    </w:p>
    <w:p>
      <w:pPr>
        <w:ind w:left="1600" w:hanging="270"/>
        <w:spacing w:after="0"/>
        <w:tabs>
          <w:tab w:leader="none" w:pos="1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part or all of the amount to be withheld in the form of Common Stock valued at its Fair Market Value on the Tax Date;</w:t>
      </w:r>
    </w:p>
    <w:p>
      <w:pPr>
        <w:spacing w:after="0" w:line="225" w:lineRule="exact"/>
        <w:rPr>
          <w:rFonts w:ascii="Times New Roman" w:cs="Times New Roman" w:eastAsia="Times New Roman" w:hAnsi="Times New Roman"/>
          <w:sz w:val="18"/>
          <w:szCs w:val="18"/>
          <w:color w:val="auto"/>
        </w:rPr>
      </w:pPr>
    </w:p>
    <w:p>
      <w:pPr>
        <w:ind w:left="880" w:right="60" w:firstLine="450"/>
        <w:spacing w:after="0" w:line="266" w:lineRule="auto"/>
        <w:tabs>
          <w:tab w:leader="none" w:pos="16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175" w:lineRule="exact"/>
        <w:rPr>
          <w:rFonts w:ascii="Times New Roman" w:cs="Times New Roman" w:eastAsia="Times New Roman" w:hAnsi="Times New Roman"/>
          <w:sz w:val="18"/>
          <w:szCs w:val="18"/>
          <w:color w:val="auto"/>
        </w:rPr>
      </w:pPr>
    </w:p>
    <w:p>
      <w:pPr>
        <w:ind w:left="1640" w:hanging="310"/>
        <w:spacing w:after="0"/>
        <w:tabs>
          <w:tab w:leader="none" w:pos="1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any compensation otherwise due to the Grantee.</w:t>
      </w:r>
    </w:p>
    <w:p>
      <w:pPr>
        <w:spacing w:after="0" w:line="225" w:lineRule="exact"/>
        <w:rPr>
          <w:sz w:val="20"/>
          <w:szCs w:val="20"/>
          <w:color w:val="auto"/>
        </w:rPr>
      </w:pPr>
    </w:p>
    <w:p>
      <w:pPr>
        <w:ind w:left="440" w:right="40" w:firstLine="441"/>
        <w:spacing w:after="0" w:line="256" w:lineRule="auto"/>
        <w:rPr>
          <w:sz w:val="20"/>
          <w:szCs w:val="20"/>
          <w:color w:val="auto"/>
        </w:rPr>
      </w:pPr>
      <w:r>
        <w:rPr>
          <w:rFonts w:ascii="Times New Roman" w:cs="Times New Roman" w:eastAsia="Times New Roman" w:hAnsi="Times New Roman"/>
          <w:sz w:val="18"/>
          <w:szCs w:val="18"/>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187" w:lineRule="exact"/>
        <w:rPr>
          <w:sz w:val="20"/>
          <w:szCs w:val="20"/>
          <w:color w:val="auto"/>
        </w:rPr>
      </w:pPr>
    </w:p>
    <w:p>
      <w:pPr>
        <w:ind w:right="340" w:firstLine="889"/>
        <w:spacing w:after="0" w:line="282" w:lineRule="auto"/>
        <w:tabs>
          <w:tab w:leader="none" w:pos="11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Notification under Code Section 83(b)</w:t>
      </w:r>
      <w:r>
        <w:rPr>
          <w:rFonts w:ascii="Times New Roman" w:cs="Times New Roman" w:eastAsia="Times New Roman" w:hAnsi="Times New Roman"/>
          <w:sz w:val="18"/>
          <w:szCs w:val="18"/>
          <w:color w:val="auto"/>
        </w:rPr>
        <w:t>. If the Grantee, in connection with the exercise of any Option, or the grant of Restricted Shares, makes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election permitted under Section 83(b) of the Code to include in such Grantee’s gross income in the year of transfer the amounts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83(b) of the Code, then such Grantee shall notify the Company of such election within 10 days of filing the notice of the election with the Internal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Service, in addition to any filing and notification required pursuant to regulations issued under Section 83(b) of the Code. The Committee may,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grant of an Award or at any time thereafter, prohibit a Grantee from making the election described above.</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18.</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PROVISIONS</w:t>
      </w:r>
    </w:p>
    <w:p>
      <w:pPr>
        <w:spacing w:after="0" w:line="207" w:lineRule="exact"/>
        <w:rPr>
          <w:sz w:val="20"/>
          <w:szCs w:val="20"/>
          <w:color w:val="auto"/>
        </w:rPr>
      </w:pPr>
    </w:p>
    <w:p>
      <w:pPr>
        <w:jc w:val="both"/>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6"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3" w:lineRule="auto"/>
        <w:tabs>
          <w:tab w:leader="none" w:pos="11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189" w:lineRule="exact"/>
        <w:rPr>
          <w:rFonts w:ascii="Times New Roman" w:cs="Times New Roman" w:eastAsia="Times New Roman" w:hAnsi="Times New Roman"/>
          <w:sz w:val="18"/>
          <w:szCs w:val="18"/>
          <w:color w:val="auto"/>
        </w:rPr>
      </w:pPr>
    </w:p>
    <w:p>
      <w:pPr>
        <w:ind w:right="120" w:firstLine="889"/>
        <w:spacing w:after="0" w:line="261" w:lineRule="auto"/>
        <w:tabs>
          <w:tab w:leader="none" w:pos="11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80" w:lineRule="exact"/>
        <w:rPr>
          <w:sz w:val="20"/>
          <w:szCs w:val="20"/>
          <w:color w:val="auto"/>
        </w:rPr>
      </w:pPr>
    </w:p>
    <w:p>
      <w:pPr>
        <w:ind w:right="240" w:firstLine="441"/>
        <w:spacing w:after="0" w:line="253"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2" w:name="page23"/>
    <w:bookmarkEnd w:id="22"/>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189" w:lineRule="exact"/>
        <w:rPr>
          <w:sz w:val="20"/>
          <w:szCs w:val="20"/>
          <w:color w:val="auto"/>
        </w:rPr>
      </w:pPr>
    </w:p>
    <w:p>
      <w:pPr>
        <w:jc w:val="both"/>
        <w:ind w:right="1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Nature of Payments</w:t>
      </w:r>
      <w:r>
        <w:rPr>
          <w:rFonts w:ascii="Times New Roman" w:cs="Times New Roman" w:eastAsia="Times New Roman" w:hAnsi="Times New Roman"/>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3"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Non-Exclusivity of Plan</w:t>
      </w:r>
      <w:r>
        <w:rPr>
          <w:rFonts w:ascii="Times New Roman" w:cs="Times New Roman" w:eastAsia="Times New Roman" w:hAnsi="Times New Roman"/>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176"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183"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u w:val="single" w:color="auto"/>
          <w:color w:val="auto"/>
        </w:rPr>
        <w:t>Unfunded Status of Awards; Creation of Trusts</w:t>
      </w:r>
      <w:r>
        <w:rPr>
          <w:rFonts w:ascii="Times New Roman" w:cs="Times New Roman" w:eastAsia="Times New Roman" w:hAnsi="Times New Roman"/>
          <w:sz w:val="18"/>
          <w:szCs w:val="18"/>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83"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u w:val="single" w:color="auto"/>
          <w:color w:val="auto"/>
        </w:rPr>
        <w:t>Affiliation</w:t>
      </w:r>
      <w:r>
        <w:rPr>
          <w:rFonts w:ascii="Times New Roman" w:cs="Times New Roman" w:eastAsia="Times New Roman" w:hAnsi="Times New Roman"/>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176"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No employee or officer shall have the right to be selected to receive an Award under this Plan or, having been so selected, to be selected to receive a future Award.</w:t>
      </w:r>
    </w:p>
    <w:p>
      <w:pPr>
        <w:spacing w:after="0" w:line="16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u w:val="single" w:color="auto"/>
          <w:color w:val="auto"/>
        </w:rPr>
        <w:t>Military Service</w:t>
      </w:r>
      <w:r>
        <w:rPr>
          <w:rFonts w:ascii="Times New Roman" w:cs="Times New Roman" w:eastAsia="Times New Roman" w:hAnsi="Times New Roman"/>
          <w:sz w:val="18"/>
          <w:szCs w:val="18"/>
          <w:color w:val="auto"/>
        </w:rPr>
        <w:t>. Awards shall be administered in accordance with Section 414(u) of the Code and the Uniformed Services Employment and Reemployment Rights Act of 1994.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following rules of construction will apply to the Plan: (a) the word “or” is disjunctive but not necessarily exclusive, and</w:t>
      </w:r>
    </w:p>
    <w:p>
      <w:pPr>
        <w:spacing w:after="0" w:line="27" w:lineRule="exact"/>
        <w:rPr>
          <w:sz w:val="20"/>
          <w:szCs w:val="20"/>
          <w:color w:val="auto"/>
        </w:rPr>
      </w:pPr>
    </w:p>
    <w:p>
      <w:pPr>
        <w:ind w:right="340" w:firstLine="8"/>
        <w:spacing w:after="0" w:line="260"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181"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are included solely for convenience of reference, and if there is any conflict between such headings and the text of this Plan, the text shall control.</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18.16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17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18.17 </w:t>
      </w:r>
      <w:r>
        <w:rPr>
          <w:rFonts w:ascii="Times New Roman" w:cs="Times New Roman" w:eastAsia="Times New Roman" w:hAnsi="Times New Roman"/>
          <w:sz w:val="18"/>
          <w:szCs w:val="18"/>
          <w:u w:val="single" w:color="auto"/>
          <w:color w:val="auto"/>
        </w:rPr>
        <w:t>No Right to Continue as Director</w:t>
      </w:r>
      <w:r>
        <w:rPr>
          <w:rFonts w:ascii="Times New Roman" w:cs="Times New Roman" w:eastAsia="Times New Roman" w:hAnsi="Times New Roman"/>
          <w:sz w:val="18"/>
          <w:szCs w:val="18"/>
          <w:color w:val="auto"/>
        </w:rPr>
        <w:t>. Nothing in the Plan or any Award Agreement shall confer upon any Non-Employee Director the right to continue to serve as a director of the Company.</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18.18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sectPr>
      <w:pgSz w:w="11900" w:h="16838" w:orient="portrait"/>
      <w:cols w:equalWidth="0" w:num="1">
        <w:col w:w="10900"/>
      </w:cols>
      <w:pgMar w:left="320" w:top="769"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lowerLetter"/>
      <w:start w:val="4"/>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lowerLetter"/>
      <w:start w:val="1"/>
    </w:lvl>
    <w:lvl w:ilvl="1">
      <w:lvlJc w:val="left"/>
      <w:lvlText w:val="(%2)"/>
      <w:numFmt w:val="lowerLetter"/>
      <w:start w:val="1"/>
    </w:lvl>
  </w:abstractNum>
  <w:abstractNum w:abstractNumId="5">
    <w:nsid w:val="257130A3"/>
    <w:multiLevelType w:val="hybridMultilevel"/>
    <w:lvl w:ilvl="0">
      <w:lvlJc w:val="left"/>
      <w:lvlText w:val="(%1)"/>
      <w:numFmt w:val="lowerLetter"/>
      <w:start w:val="9"/>
    </w:lvl>
    <w:lvl w:ilvl="1">
      <w:lvlJc w:val="left"/>
      <w:lvlText w:val="(%2)"/>
      <w:numFmt w:val="lowerLetter"/>
      <w:start w:val="3"/>
    </w:lvl>
  </w:abstractNum>
  <w:abstractNum w:abstractNumId="6">
    <w:nsid w:val="62BBD95A"/>
    <w:multiLevelType w:val="hybridMultilevel"/>
    <w:lvl w:ilvl="0">
      <w:lvlJc w:val="left"/>
      <w:lvlText w:val="(%1)"/>
      <w:numFmt w:val="lowerLetter"/>
      <w:start w:val="1"/>
    </w:lvl>
    <w:lvl w:ilvl="1">
      <w:lvlJc w:val="left"/>
      <w:lvlText w:val="(%2)"/>
      <w:numFmt w:val="lowerRoman"/>
      <w:start w:val="1"/>
    </w:lvl>
  </w:abstractNum>
  <w:abstractNum w:abstractNumId="7">
    <w:nsid w:val="436C6125"/>
    <w:multiLevelType w:val="hybridMultilevel"/>
    <w:lvl w:ilvl="0">
      <w:lvlJc w:val="left"/>
      <w:lvlText w:val="(%1)"/>
      <w:numFmt w:val="lowerLetter"/>
      <w:start w:val="2"/>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1"/>
    </w:lvl>
    <w:lvl w:ilvl="1">
      <w:lvlJc w:val="left"/>
      <w:lvlText w:val="(%2)"/>
      <w:numFmt w:val="lowerLetter"/>
      <w:start w:val="3"/>
    </w:lvl>
  </w:abstractNum>
  <w:abstractNum w:abstractNumId="11">
    <w:nsid w:val="2443A858"/>
    <w:multiLevelType w:val="hybridMultilevel"/>
    <w:lvl w:ilvl="0">
      <w:lvlJc w:val="left"/>
      <w:lvlText w:val="(%1)"/>
      <w:numFmt w:val="lowerLetter"/>
      <w:start w:val="35"/>
    </w:lvl>
    <w:lvl w:ilvl="1">
      <w:lvlJc w:val="left"/>
      <w:lvlText w:val="(%2)"/>
      <w:numFmt w:val="lowerLetter"/>
      <w:start w:val="14"/>
    </w:lvl>
  </w:abstractNum>
  <w:abstractNum w:abstractNumId="12">
    <w:nsid w:val="2D1D5AE9"/>
    <w:multiLevelType w:val="hybridMultilevel"/>
    <w:lvl w:ilvl="0">
      <w:lvlJc w:val="left"/>
      <w:lvlText w:val="(%1)"/>
      <w:numFmt w:val="lowerLetter"/>
      <w:start w:val="18"/>
    </w:lvl>
  </w:abstractNum>
  <w:abstractNum w:abstractNumId="13">
    <w:nsid w:val="6763845E"/>
    <w:multiLevelType w:val="hybridMultilevel"/>
    <w:lvl w:ilvl="0">
      <w:lvlJc w:val="left"/>
      <w:lvlText w:val="(%1)"/>
      <w:numFmt w:val="lowerRoman"/>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2"/>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2"/>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25"/>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1"/>
    </w:lvl>
    <w:lvl w:ilvl="1">
      <w:lvlJc w:val="left"/>
      <w:lvlText w:val="(%2)"/>
      <w:numFmt w:val="lowerRoman"/>
      <w:start w:val="1"/>
    </w:lvl>
  </w:abstractNum>
  <w:abstractNum w:abstractNumId="30">
    <w:nsid w:val="6CEAF087"/>
    <w:multiLevelType w:val="hybridMultilevel"/>
    <w:lvl w:ilvl="0">
      <w:lvlJc w:val="left"/>
      <w:lvlText w:val="(%1)"/>
      <w:numFmt w:val="lowerLetter"/>
      <w:start w:val="2"/>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2022-06-24T16:31:38Z</dcterms:created>
  <dcterms:modified xsi:type="dcterms:W3CDTF">2022-06-24T16:31:38Z</dcterms:modified>
</cp:coreProperties>
</file>