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December 12, 2019</w:t>
      </w:r>
    </w:p>
    <w:p>
      <w:pPr>
        <w:spacing w:after="0" w:line="4" w:lineRule="exact"/>
        <w:rPr>
          <w:sz w:val="24"/>
          <w:szCs w:val="24"/>
          <w:color w:val="auto"/>
        </w:rPr>
      </w:pPr>
    </w:p>
    <w:p>
      <w:pPr>
        <w:ind w:left="95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3" w:lineRule="exact"/>
        <w:rPr>
          <w:sz w:val="24"/>
          <w:szCs w:val="24"/>
          <w:color w:val="auto"/>
        </w:rPr>
      </w:pPr>
    </w:p>
    <w:p>
      <w:pPr>
        <w:ind w:left="1040"/>
        <w:spacing w:after="0"/>
        <w:rPr>
          <w:sz w:val="20"/>
          <w:szCs w:val="20"/>
          <w:color w:val="auto"/>
        </w:rPr>
      </w:pPr>
      <w:r>
        <w:rPr>
          <w:rFonts w:ascii="Arial" w:cs="Arial" w:eastAsia="Arial" w:hAnsi="Arial"/>
          <w:sz w:val="43"/>
          <w:szCs w:val="43"/>
          <w:b w:val="1"/>
          <w:bCs w:val="1"/>
          <w:color w:val="auto"/>
        </w:rPr>
        <w:t>ARCTURUS THERAPEUTICS HOLDINGS INC.</w:t>
      </w:r>
    </w:p>
    <w:p>
      <w:pPr>
        <w:spacing w:after="0" w:line="42" w:lineRule="exact"/>
        <w:rPr>
          <w:sz w:val="24"/>
          <w:szCs w:val="24"/>
          <w:color w:val="auto"/>
        </w:rPr>
      </w:pPr>
    </w:p>
    <w:tbl>
      <w:tblPr>
        <w:tblLayout w:type="fixed"/>
        <w:tblInd w:w="216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5080" w:type="dxa"/>
            <w:vAlign w:val="bottom"/>
            <w:gridSpan w:val="3"/>
          </w:tcPr>
          <w:p>
            <w:pPr>
              <w:ind w:left="16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45"/>
        </w:trPr>
        <w:tc>
          <w:tcPr>
            <w:tcW w:w="1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2180" w:type="dxa"/>
            <w:vAlign w:val="bottom"/>
          </w:tcPr>
          <w:p>
            <w:pPr>
              <w:spacing w:after="0"/>
              <w:rPr>
                <w:sz w:val="12"/>
                <w:szCs w:val="12"/>
                <w:color w:val="auto"/>
              </w:rPr>
            </w:pPr>
          </w:p>
        </w:tc>
      </w:tr>
      <w:tr>
        <w:trPr>
          <w:trHeight w:val="232"/>
        </w:trPr>
        <w:tc>
          <w:tcPr>
            <w:tcW w:w="18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Delaware</w:t>
            </w:r>
          </w:p>
        </w:tc>
        <w:tc>
          <w:tcPr>
            <w:tcW w:w="5080" w:type="dxa"/>
            <w:vAlign w:val="bottom"/>
            <w:gridSpan w:val="3"/>
          </w:tcPr>
          <w:p>
            <w:pPr>
              <w:jc w:val="center"/>
              <w:ind w:left="4028"/>
              <w:spacing w:after="0"/>
              <w:rPr>
                <w:sz w:val="20"/>
                <w:szCs w:val="20"/>
                <w:color w:val="auto"/>
              </w:rPr>
            </w:pPr>
            <w:r>
              <w:rPr>
                <w:rFonts w:ascii="Arial" w:cs="Arial" w:eastAsia="Arial" w:hAnsi="Arial"/>
                <w:sz w:val="14"/>
                <w:szCs w:val="14"/>
                <w:b w:val="1"/>
                <w:bCs w:val="1"/>
                <w:color w:val="auto"/>
                <w:w w:val="93"/>
              </w:rPr>
              <w:t>32-0595345</w:t>
            </w:r>
          </w:p>
        </w:tc>
      </w:tr>
      <w:tr>
        <w:trPr>
          <w:trHeight w:val="135"/>
        </w:trPr>
        <w:tc>
          <w:tcPr>
            <w:tcW w:w="180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6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180" w:type="dxa"/>
            <w:vAlign w:val="bottom"/>
          </w:tcPr>
          <w:p>
            <w:pPr>
              <w:jc w:val="center"/>
              <w:ind w:left="113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1800" w:type="dxa"/>
            <w:vAlign w:val="bottom"/>
          </w:tcPr>
          <w:p>
            <w:pPr>
              <w:jc w:val="center"/>
              <w:ind w:right="94"/>
              <w:spacing w:after="0"/>
              <w:rPr>
                <w:sz w:val="20"/>
                <w:szCs w:val="20"/>
                <w:color w:val="auto"/>
              </w:rPr>
            </w:pPr>
            <w:r>
              <w:rPr>
                <w:rFonts w:ascii="Arial" w:cs="Arial" w:eastAsia="Arial" w:hAnsi="Arial"/>
                <w:sz w:val="13"/>
                <w:szCs w:val="13"/>
                <w:b w:val="1"/>
                <w:bCs w:val="1"/>
                <w:color w:val="auto"/>
                <w:w w:val="88"/>
              </w:rPr>
              <w:t>incorporation or organization)</w:t>
            </w:r>
          </w:p>
        </w:tc>
        <w:tc>
          <w:tcPr>
            <w:tcW w:w="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10628 Science Center Drive, Suite 250</w:t>
      </w:r>
    </w:p>
    <w:p>
      <w:pPr>
        <w:jc w:val="center"/>
        <w:ind w:right="-179"/>
        <w:spacing w:after="0" w:line="226" w:lineRule="auto"/>
        <w:rPr>
          <w:sz w:val="20"/>
          <w:szCs w:val="20"/>
          <w:color w:val="auto"/>
        </w:rPr>
      </w:pPr>
      <w:r>
        <w:rPr>
          <w:rFonts w:ascii="Arial" w:cs="Arial" w:eastAsia="Arial" w:hAnsi="Arial"/>
          <w:sz w:val="14"/>
          <w:szCs w:val="14"/>
          <w:b w:val="1"/>
          <w:bCs w:val="1"/>
          <w:color w:val="auto"/>
        </w:rPr>
        <w:t>San Diego, California 92121</w:t>
      </w:r>
    </w:p>
    <w:p>
      <w:pPr>
        <w:jc w:val="center"/>
        <w:ind w:right="-179"/>
        <w:spacing w:after="0" w:line="225" w:lineRule="auto"/>
        <w:rPr>
          <w:sz w:val="20"/>
          <w:szCs w:val="20"/>
          <w:color w:val="auto"/>
        </w:rPr>
      </w:pPr>
      <w:r>
        <w:rPr>
          <w:rFonts w:ascii="Arial" w:cs="Arial" w:eastAsia="Arial" w:hAnsi="Arial"/>
          <w:sz w:val="14"/>
          <w:szCs w:val="14"/>
          <w:b w:val="1"/>
          <w:bCs w:val="1"/>
          <w:color w:val="auto"/>
        </w:rPr>
        <w:t>(858) 900-2660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Joseph E. Payne</w:t>
      </w:r>
    </w:p>
    <w:p>
      <w:pPr>
        <w:jc w:val="center"/>
        <w:ind w:right="-179"/>
        <w:spacing w:after="0" w:line="226" w:lineRule="auto"/>
        <w:rPr>
          <w:sz w:val="20"/>
          <w:szCs w:val="20"/>
          <w:color w:val="auto"/>
        </w:rPr>
      </w:pPr>
      <w:r>
        <w:rPr>
          <w:rFonts w:ascii="Arial" w:cs="Arial" w:eastAsia="Arial" w:hAnsi="Arial"/>
          <w:sz w:val="14"/>
          <w:szCs w:val="14"/>
          <w:b w:val="1"/>
          <w:bCs w:val="1"/>
          <w:color w:val="auto"/>
        </w:rPr>
        <w:t>Arcturus Therapeutics Holdings Inc.</w:t>
      </w:r>
    </w:p>
    <w:p>
      <w:pPr>
        <w:jc w:val="center"/>
        <w:ind w:right="-179"/>
        <w:spacing w:after="0" w:line="222" w:lineRule="auto"/>
        <w:rPr>
          <w:sz w:val="20"/>
          <w:szCs w:val="20"/>
          <w:color w:val="auto"/>
        </w:rPr>
      </w:pPr>
      <w:r>
        <w:rPr>
          <w:rFonts w:ascii="Arial" w:cs="Arial" w:eastAsia="Arial" w:hAnsi="Arial"/>
          <w:sz w:val="14"/>
          <w:szCs w:val="14"/>
          <w:b w:val="1"/>
          <w:bCs w:val="1"/>
          <w:color w:val="auto"/>
        </w:rPr>
        <w:t>10628 Science Center Drive, Suite 250</w:t>
      </w:r>
    </w:p>
    <w:p>
      <w:pPr>
        <w:jc w:val="center"/>
        <w:ind w:right="-179"/>
        <w:spacing w:after="0" w:line="221" w:lineRule="auto"/>
        <w:rPr>
          <w:sz w:val="20"/>
          <w:szCs w:val="20"/>
          <w:color w:val="auto"/>
        </w:rPr>
      </w:pPr>
      <w:r>
        <w:rPr>
          <w:rFonts w:ascii="Arial" w:cs="Arial" w:eastAsia="Arial" w:hAnsi="Arial"/>
          <w:sz w:val="14"/>
          <w:szCs w:val="14"/>
          <w:b w:val="1"/>
          <w:bCs w:val="1"/>
          <w:color w:val="auto"/>
        </w:rPr>
        <w:t>San Diego, California 92121</w:t>
      </w:r>
    </w:p>
    <w:p>
      <w:pPr>
        <w:jc w:val="center"/>
        <w:ind w:right="-179"/>
        <w:spacing w:after="0" w:line="225" w:lineRule="auto"/>
        <w:rPr>
          <w:sz w:val="20"/>
          <w:szCs w:val="20"/>
          <w:color w:val="auto"/>
        </w:rPr>
      </w:pPr>
      <w:r>
        <w:rPr>
          <w:rFonts w:ascii="Arial" w:cs="Arial" w:eastAsia="Arial" w:hAnsi="Arial"/>
          <w:sz w:val="14"/>
          <w:szCs w:val="14"/>
          <w:b w:val="1"/>
          <w:bCs w:val="1"/>
          <w:color w:val="auto"/>
        </w:rPr>
        <w:t>(858) 900-2660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With a copy to:</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Jeffrey A. Baumel, Esq.</w:t>
      </w:r>
    </w:p>
    <w:p>
      <w:pPr>
        <w:jc w:val="center"/>
        <w:ind w:right="-179"/>
        <w:spacing w:after="0" w:line="226" w:lineRule="auto"/>
        <w:rPr>
          <w:sz w:val="20"/>
          <w:szCs w:val="20"/>
          <w:color w:val="auto"/>
        </w:rPr>
      </w:pPr>
      <w:r>
        <w:rPr>
          <w:rFonts w:ascii="Arial" w:cs="Arial" w:eastAsia="Arial" w:hAnsi="Arial"/>
          <w:sz w:val="14"/>
          <w:szCs w:val="14"/>
          <w:b w:val="1"/>
          <w:bCs w:val="1"/>
          <w:color w:val="auto"/>
        </w:rPr>
        <w:t>Ilan Katz, Esq.</w:t>
      </w:r>
    </w:p>
    <w:p>
      <w:pPr>
        <w:jc w:val="center"/>
        <w:ind w:right="-179"/>
        <w:spacing w:after="0" w:line="222" w:lineRule="auto"/>
        <w:rPr>
          <w:sz w:val="20"/>
          <w:szCs w:val="20"/>
          <w:color w:val="auto"/>
        </w:rPr>
      </w:pPr>
      <w:r>
        <w:rPr>
          <w:rFonts w:ascii="Arial" w:cs="Arial" w:eastAsia="Arial" w:hAnsi="Arial"/>
          <w:sz w:val="14"/>
          <w:szCs w:val="14"/>
          <w:b w:val="1"/>
          <w:bCs w:val="1"/>
          <w:color w:val="auto"/>
        </w:rPr>
        <w:t>Dentons US LLP</w:t>
      </w:r>
    </w:p>
    <w:p>
      <w:pPr>
        <w:jc w:val="center"/>
        <w:ind w:right="-179"/>
        <w:spacing w:after="0" w:line="221" w:lineRule="auto"/>
        <w:rPr>
          <w:sz w:val="20"/>
          <w:szCs w:val="20"/>
          <w:color w:val="auto"/>
        </w:rPr>
      </w:pPr>
      <w:r>
        <w:rPr>
          <w:rFonts w:ascii="Arial" w:cs="Arial" w:eastAsia="Arial" w:hAnsi="Arial"/>
          <w:sz w:val="14"/>
          <w:szCs w:val="14"/>
          <w:b w:val="1"/>
          <w:bCs w:val="1"/>
          <w:color w:val="auto"/>
        </w:rPr>
        <w:t>1221 Avenue of the Americas</w:t>
      </w:r>
    </w:p>
    <w:p>
      <w:pPr>
        <w:jc w:val="center"/>
        <w:ind w:right="-179"/>
        <w:spacing w:after="0" w:line="222" w:lineRule="auto"/>
        <w:rPr>
          <w:sz w:val="20"/>
          <w:szCs w:val="20"/>
          <w:color w:val="auto"/>
        </w:rPr>
      </w:pPr>
      <w:r>
        <w:rPr>
          <w:rFonts w:ascii="Arial" w:cs="Arial" w:eastAsia="Arial" w:hAnsi="Arial"/>
          <w:sz w:val="14"/>
          <w:szCs w:val="14"/>
          <w:b w:val="1"/>
          <w:bCs w:val="1"/>
          <w:color w:val="auto"/>
        </w:rPr>
        <w:t>New York, NY 10020-1089</w:t>
      </w:r>
    </w:p>
    <w:p>
      <w:pPr>
        <w:jc w:val="center"/>
        <w:ind w:right="-179"/>
        <w:spacing w:after="0"/>
        <w:rPr>
          <w:sz w:val="20"/>
          <w:szCs w:val="20"/>
          <w:color w:val="auto"/>
        </w:rPr>
      </w:pPr>
      <w:r>
        <w:rPr>
          <w:rFonts w:ascii="Arial" w:cs="Arial" w:eastAsia="Arial" w:hAnsi="Arial"/>
          <w:sz w:val="14"/>
          <w:szCs w:val="14"/>
          <w:b w:val="1"/>
          <w:bCs w:val="1"/>
          <w:color w:val="auto"/>
        </w:rPr>
        <w:t>Telephone: (212) 768-6700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5"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32" w:lineRule="exact"/>
        <w:rPr>
          <w:sz w:val="24"/>
          <w:szCs w:val="24"/>
          <w:color w:val="auto"/>
        </w:rPr>
      </w:pPr>
    </w:p>
    <w:p>
      <w:pPr>
        <w:ind w:left="20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200" w:right="30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0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0" w:type="dxa"/>
            <w:vAlign w:val="bottom"/>
          </w:tcPr>
          <w:p>
            <w:pPr>
              <w:spacing w:after="0"/>
              <w:rPr>
                <w:sz w:val="14"/>
                <w:szCs w:val="14"/>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 Unit(1)(2)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Fee(2)</w:t>
            </w:r>
          </w:p>
        </w:tc>
      </w:tr>
      <w:tr>
        <w:trPr>
          <w:trHeight w:val="145"/>
        </w:trPr>
        <w:tc>
          <w:tcPr>
            <w:tcW w:w="20" w:type="dxa"/>
            <w:vAlign w:val="bottom"/>
            <w:tcBorders>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Common Stock</w:t>
            </w:r>
          </w:p>
        </w:tc>
        <w:tc>
          <w:tcPr>
            <w:tcW w:w="1540" w:type="dxa"/>
            <w:vAlign w:val="bottom"/>
            <w:tcBorders>
              <w:bottom w:val="single" w:sz="8" w:color="auto"/>
              <w:right w:val="single" w:sz="8" w:color="auto"/>
            </w:tcBorders>
          </w:tcPr>
          <w:p>
            <w:pPr>
              <w:jc w:val="right"/>
              <w:ind w:right="395"/>
              <w:spacing w:after="0" w:line="145" w:lineRule="exact"/>
              <w:rPr>
                <w:sz w:val="20"/>
                <w:szCs w:val="20"/>
                <w:color w:val="auto"/>
              </w:rPr>
            </w:pPr>
            <w:r>
              <w:rPr>
                <w:rFonts w:ascii="Arial" w:cs="Arial" w:eastAsia="Arial" w:hAnsi="Arial"/>
                <w:sz w:val="14"/>
                <w:szCs w:val="14"/>
                <w:color w:val="auto"/>
              </w:rPr>
              <w:t>2,400,000</w:t>
            </w:r>
          </w:p>
        </w:tc>
        <w:tc>
          <w:tcPr>
            <w:tcW w:w="1540" w:type="dxa"/>
            <w:vAlign w:val="bottom"/>
            <w:tcBorders>
              <w:bottom w:val="single" w:sz="8" w:color="auto"/>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88"/>
              </w:rPr>
              <w:t>$10.60</w:t>
            </w:r>
          </w:p>
        </w:tc>
        <w:tc>
          <w:tcPr>
            <w:tcW w:w="1540" w:type="dxa"/>
            <w:vAlign w:val="bottom"/>
            <w:tcBorders>
              <w:bottom w:val="single" w:sz="8" w:color="auto"/>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$25,440,000.00</w:t>
            </w:r>
          </w:p>
        </w:tc>
        <w:tc>
          <w:tcPr>
            <w:tcW w:w="15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4"/>
                <w:szCs w:val="14"/>
                <w:color w:val="auto"/>
                <w:w w:val="93"/>
              </w:rPr>
              <w:t>$3,302.11</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640" w:right="140" w:hanging="436"/>
        <w:spacing w:after="0" w:line="224"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there are being registered hereunder such additional number of shares of common stock, of a currently indeterminable amount, as may from time to time become issuable by reason of stock splits, stock dividends or similar transactions, which shares of common stock are registered hereunder pursuant to Rule 416 of the Securities Act of 1933, as amended (the “Securities Act”).</w:t>
      </w:r>
    </w:p>
    <w:p>
      <w:pPr>
        <w:spacing w:after="0" w:line="1" w:lineRule="exact"/>
        <w:rPr>
          <w:rFonts w:ascii="Arial" w:cs="Arial" w:eastAsia="Arial" w:hAnsi="Arial"/>
          <w:sz w:val="14"/>
          <w:szCs w:val="14"/>
          <w:color w:val="auto"/>
        </w:rPr>
      </w:pPr>
    </w:p>
    <w:p>
      <w:pPr>
        <w:ind w:left="640" w:right="560" w:hanging="436"/>
        <w:spacing w:after="0" w:line="237"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of the Securities Act solely for purposes of calculating the registration fee based on the average high and low prices reported for the registrant’s common stock traded on the Nasdaq Global Market on December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111125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jc w:val="both"/>
        <w:ind w:left="200" w:right="1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12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The selling stockholder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4338"/>
        </w:rPr>
        <w:t>SUBJECT TO COMPLETION, DATED DECEMBER 12,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172085</wp:posOffset>
            </wp:positionV>
            <wp:extent cx="2015490"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549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2,400,000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This prospectus relates to up to 2,400,000 shares of common stock that the selling stockholder identified in this prospectus may sell from time to time in one or more transactions in amounts, at prices and on terms that will be determined at the time of the offering. We will not receive any proceeds from the sale of the shares of common stock by the selling stockholder. The selling stockholder acquired the shares of common stock from us pursuant to an Equity Purchase Agreement dated June 19, 2019.</w:t>
      </w:r>
    </w:p>
    <w:p>
      <w:pPr>
        <w:spacing w:after="0" w:line="187" w:lineRule="exact"/>
        <w:rPr>
          <w:sz w:val="20"/>
          <w:szCs w:val="20"/>
          <w:color w:val="auto"/>
        </w:rPr>
      </w:pPr>
    </w:p>
    <w:p>
      <w:pPr>
        <w:ind w:left="200" w:right="180"/>
        <w:spacing w:after="0" w:line="271" w:lineRule="auto"/>
        <w:rPr>
          <w:sz w:val="20"/>
          <w:szCs w:val="20"/>
          <w:color w:val="auto"/>
        </w:rPr>
      </w:pPr>
      <w:r>
        <w:rPr>
          <w:rFonts w:ascii="Arial" w:cs="Arial" w:eastAsia="Arial" w:hAnsi="Arial"/>
          <w:sz w:val="17"/>
          <w:szCs w:val="17"/>
          <w:color w:val="auto"/>
        </w:rPr>
        <w:t>The shares of common stock may be sold directly by the selling stockholder on the Nasdaq Global Market or any other stock exchange, market or trading facility on which the shares of common stock are traded or in private transactions. This prospectus describes the general manner in which the shares may be offered and sold by the selling stockholder. If necessary, the specific manner in which the shares may be offered and sold will be described in a supplement to this prospectus. Any such prospectus supplement may also add, update or change information in this prospectus. We may also authorize one or more free writing prospectuses to be provided to you in connection with this offering. You should carefully read this prospectus, any applicable prospectus supplement and any related free writing prospectuses, as well as the documents incorporated by reference or deemed to be incorporated by reference into this prospectus, carefully before you invest. For additional information on the methods of sale, you should refer to the section entitled “Plan of Distribution” in this prospectus.</w:t>
      </w:r>
    </w:p>
    <w:p>
      <w:pPr>
        <w:spacing w:after="0" w:line="17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Our common stock is traded on the Nasdaq Global Market under the symbol “ARCT.” On December 11, 2019, the closing price of our common stock on the Nasdaq Global Market was $10.85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28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a high degree of risk. You should review carefully the risks and uncertainties referenced under the heading “</w:t>
      </w:r>
      <w:hyperlink w:anchor="page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and contained in our filings made with the Securities and Exchange Commission and any applicable prospectus supplement.</w:t>
      </w:r>
    </w:p>
    <w:p>
      <w:pPr>
        <w:spacing w:after="0" w:line="132"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0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76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9"/>
          </w:tcPr>
          <w:p>
            <w:pPr>
              <w:spacing w:after="0" w:line="190"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6340" w:type="dxa"/>
            <w:vAlign w:val="bottom"/>
            <w:gridSpan w:val="4"/>
          </w:tcPr>
          <w:p>
            <w:pPr>
              <w:spacing w:after="0"/>
              <w:rPr>
                <w:sz w:val="16"/>
                <w:szCs w:val="16"/>
                <w:color w:val="auto"/>
              </w:rPr>
            </w:pP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58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ABOUT THIS OFFERING</w:t>
              </w:r>
            </w:hyperlink>
          </w:p>
        </w:tc>
        <w:tc>
          <w:tcPr>
            <w:tcW w:w="80" w:type="dxa"/>
            <w:vAlign w:val="bottom"/>
            <w:tcBorders>
              <w:top w:val="single" w:sz="8" w:color="0000EE"/>
            </w:tcBorders>
            <w:gridSpan w:val="2"/>
          </w:tcPr>
          <w:p>
            <w:pPr>
              <w:spacing w:after="0"/>
              <w:rPr>
                <w:sz w:val="17"/>
                <w:szCs w:val="17"/>
                <w:color w:val="auto"/>
              </w:rPr>
            </w:pPr>
          </w:p>
        </w:tc>
        <w:tc>
          <w:tcPr>
            <w:tcW w:w="65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732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58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8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SELLING STOCKHOLDER</w:t>
              </w:r>
            </w:hyperlink>
          </w:p>
        </w:tc>
        <w:tc>
          <w:tcPr>
            <w:tcW w:w="646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PLAN OF DISTRIBUTION</w:t>
              </w:r>
            </w:hyperlink>
          </w:p>
        </w:tc>
        <w:tc>
          <w:tcPr>
            <w:tcW w:w="65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LEGAL MATTERS</w:t>
              </w:r>
            </w:hyperlink>
          </w:p>
        </w:tc>
        <w:tc>
          <w:tcPr>
            <w:tcW w:w="712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EXPERTS</w:t>
              </w:r>
            </w:hyperlink>
          </w:p>
        </w:tc>
        <w:tc>
          <w:tcPr>
            <w:tcW w:w="78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82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WHERE YOU CAN FIND MORE INFORMATION</w:t>
              </w:r>
            </w:hyperlink>
          </w:p>
        </w:tc>
        <w:tc>
          <w:tcPr>
            <w:tcW w:w="476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580" w:type="dxa"/>
            <w:vAlign w:val="bottom"/>
            <w:gridSpan w:val="1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INCORPORATION OF CERTAIN DOCUMENTS BY REFERENCE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utilizing a “shelf” registration process. This prospectus describes the general manner in which the selling stockholder identified in this prospectus may offer from time to time in one or more transactions up to 2,400,000 shares of our common stock.</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This prospectus only provides you with a general description of the common stock that may be sold in these transactions. If necessary, the specific manner in which the shares of common stock may be offered and sold will be described in a supplement to this prospectus, which supplement may also add, update or change any of the information contained in this prospectus. We may also authorize one or more free writing prospectuses to be provided to you that may contain material information relating to this offerings. This prospectus does not contain all of the information included in the registration statement we filed with the SEC. For further information about us or the common stock offered hereby, you should carefully read this prospectus, any applicable prospectus supplement, any related free writing prospectuses, the information and documents incorporated herein by reference and the additional information under the heading “Where You Can Find More Information” before making an investment decision.</w:t>
      </w:r>
    </w:p>
    <w:p>
      <w:pPr>
        <w:spacing w:after="0" w:line="16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 xml:space="preserve">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w:t>
      </w:r>
      <w:r>
        <w:rPr>
          <w:rFonts w:ascii="Arial" w:cs="Arial" w:eastAsia="Arial" w:hAnsi="Arial"/>
          <w:sz w:val="17"/>
          <w:szCs w:val="17"/>
          <w:b w:val="1"/>
          <w:bCs w:val="1"/>
          <w:color w:val="auto"/>
        </w:rPr>
        <w:t>This prospectus and any accompanying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supplement to this prospectus are not an offer to sell the common stock and it is not soliciting an offer to buy the common stock in any jurisdiction where the offer or sale is not permitted. </w:t>
      </w:r>
      <w:r>
        <w:rPr>
          <w:rFonts w:ascii="Arial" w:cs="Arial" w:eastAsia="Arial" w:hAnsi="Arial"/>
          <w:sz w:val="17"/>
          <w:szCs w:val="17"/>
          <w:color w:val="auto"/>
        </w:rPr>
        <w:t>You should assume that the information appearing in this prospectus, any applicable prospectus</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 To the extent there are inconsistencies between any prospectus supplement, this prospectus and/or any documents incorporated by reference, the document with the most recent date will control.</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0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380" w:right="16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320" w:right="6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320" w:right="14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380" w:right="16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knockdown of genes overexpressed in disease; and (3) CRISPR, TALEN, zinc finger proteins, megatals and meganucleases—gene editing of errant genes.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right="30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or Arcturus Inc., pursuant to a merger between the companies. Immediately after giving effect to the merger, on November 15, 2017, Alcobra Ltd. changed its name to Arcturus Therapeutics Ltd., or Arcturus Ltd.</w:t>
      </w:r>
    </w:p>
    <w:p>
      <w:pPr>
        <w:spacing w:after="0" w:line="181" w:lineRule="exact"/>
        <w:rPr>
          <w:sz w:val="20"/>
          <w:szCs w:val="20"/>
          <w:color w:val="auto"/>
        </w:rPr>
      </w:pPr>
    </w:p>
    <w:p>
      <w:pPr>
        <w:ind w:left="380" w:right="380"/>
        <w:spacing w:after="0" w:line="312" w:lineRule="auto"/>
        <w:rPr>
          <w:sz w:val="20"/>
          <w:szCs w:val="20"/>
          <w:color w:val="auto"/>
        </w:rPr>
      </w:pPr>
      <w:r>
        <w:rPr>
          <w:rFonts w:ascii="Arial" w:cs="Arial" w:eastAsia="Arial" w:hAnsi="Arial"/>
          <w:sz w:val="16"/>
          <w:szCs w:val="16"/>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w:t>
      </w:r>
    </w:p>
    <w:p>
      <w:pPr>
        <w:spacing w:after="0" w:line="46" w:lineRule="exact"/>
        <w:rPr>
          <w:sz w:val="20"/>
          <w:szCs w:val="20"/>
          <w:color w:val="auto"/>
        </w:rPr>
      </w:pPr>
    </w:p>
    <w:p>
      <w:pPr>
        <w:ind w:left="380" w:right="140" w:firstLine="6"/>
        <w:spacing w:after="0" w:line="255"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900-2660. Our website is located at https://arcturusrx.com. We do not incorporate by reference into this prospectus the information on, or accessible through, our website, and you should not consider it as part of this prospectus or any prospectus supplement. Our common stock trades on the Nasdaq Global Market, or Nasdaq, under the symbol “ARCT”.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709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3709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ABOUT THIS OFFERING</w:t>
      </w:r>
    </w:p>
    <w:p>
      <w:pPr>
        <w:spacing w:after="0" w:line="229" w:lineRule="exact"/>
        <w:rPr>
          <w:sz w:val="20"/>
          <w:szCs w:val="20"/>
          <w:color w:val="auto"/>
        </w:rPr>
      </w:pPr>
    </w:p>
    <w:p>
      <w:pPr>
        <w:ind w:left="380" w:right="60"/>
        <w:spacing w:after="0" w:line="312" w:lineRule="auto"/>
        <w:rPr>
          <w:sz w:val="20"/>
          <w:szCs w:val="20"/>
          <w:color w:val="auto"/>
        </w:rPr>
      </w:pPr>
      <w:r>
        <w:rPr>
          <w:rFonts w:ascii="Arial" w:cs="Arial" w:eastAsia="Arial" w:hAnsi="Arial"/>
          <w:sz w:val="16"/>
          <w:szCs w:val="16"/>
          <w:color w:val="auto"/>
        </w:rPr>
        <w:t>This prospectus relates to the resale by the selling stockholder identified in this prospectus of up to 2,400,000 shares of our common stock. All of the shares, when sold, will be sold by this selling stockholder. The selling stockholder may sell its shares of common stock from time to time at prevailing market prices. We will not receive any proceeds from the sale of the shares of common stock by the selling stockholder.</w:t>
      </w:r>
    </w:p>
    <w:p>
      <w:pPr>
        <w:sectPr>
          <w:pgSz w:w="11900" w:h="16838" w:orient="portrait"/>
          <w:cols w:equalWidth="0" w:num="1">
            <w:col w:w="10900"/>
          </w:cols>
          <w:pgMar w:left="240" w:top="459" w:right="759" w:bottom="1440" w:gutter="0" w:footer="0" w:header="0"/>
        </w:sectPr>
      </w:pP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Up to 2,400,000 shares of common stock.</w:t>
      </w:r>
    </w:p>
    <w:p>
      <w:pPr>
        <w:spacing w:after="0" w:line="200" w:lineRule="exact"/>
        <w:rPr>
          <w:sz w:val="20"/>
          <w:szCs w:val="20"/>
          <w:color w:val="auto"/>
        </w:rPr>
      </w:pPr>
    </w:p>
    <w:p>
      <w:pPr>
        <w:sectPr>
          <w:pgSz w:w="11900" w:h="16838" w:orient="portrait"/>
          <w:cols w:equalWidth="0" w:num="2">
            <w:col w:w="3700" w:space="720"/>
            <w:col w:w="6480"/>
          </w:cols>
          <w:pgMar w:left="240" w:top="459" w:right="7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Outstanding at December 11, 2019:</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15,137,964 shares.</w:t>
      </w:r>
    </w:p>
    <w:p>
      <w:pPr>
        <w:spacing w:after="0" w:line="211" w:lineRule="exact"/>
        <w:rPr>
          <w:sz w:val="20"/>
          <w:szCs w:val="20"/>
          <w:color w:val="auto"/>
        </w:rPr>
      </w:pPr>
    </w:p>
    <w:p>
      <w:pPr>
        <w:sectPr>
          <w:pgSz w:w="11900" w:h="16838" w:orient="portrait"/>
          <w:cols w:equalWidth="0" w:num="2">
            <w:col w:w="4120" w:space="300"/>
            <w:col w:w="6480"/>
          </w:cols>
          <w:pgMar w:left="240" w:top="459" w:right="7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will not receive any proceeds from the sale of the 2,400,000 shares of common stock by the selling stockholder under this prospectus.</w:t>
      </w:r>
    </w:p>
    <w:p>
      <w:pPr>
        <w:spacing w:after="0" w:line="197" w:lineRule="exact"/>
        <w:rPr>
          <w:sz w:val="20"/>
          <w:szCs w:val="20"/>
          <w:color w:val="auto"/>
        </w:rPr>
      </w:pPr>
    </w:p>
    <w:p>
      <w:pPr>
        <w:sectPr>
          <w:pgSz w:w="11900" w:h="16838" w:orient="portrait"/>
          <w:cols w:equalWidth="0" w:num="2">
            <w:col w:w="3700" w:space="720"/>
            <w:col w:w="6480"/>
          </w:cols>
          <w:pgMar w:left="240" w:top="459" w:right="7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79" w:lineRule="auto"/>
        <w:rPr>
          <w:sz w:val="20"/>
          <w:szCs w:val="20"/>
          <w:color w:val="auto"/>
        </w:rPr>
      </w:pPr>
      <w:r>
        <w:rPr>
          <w:rFonts w:ascii="Arial" w:cs="Arial" w:eastAsia="Arial" w:hAnsi="Arial"/>
          <w:sz w:val="17"/>
          <w:szCs w:val="17"/>
          <w:color w:val="auto"/>
        </w:rPr>
        <w:t>An investment in the common stock offered under this prospectus involves a high degree of risk. See “Risk Factors” beginning on page 4 of this prospectus and in the documents incorporated by reference into this prospectus for a discussion of factors you should consider carefully when making an investment decision.</w:t>
      </w:r>
    </w:p>
    <w:p>
      <w:pPr>
        <w:spacing w:after="0" w:line="198" w:lineRule="exact"/>
        <w:rPr>
          <w:sz w:val="20"/>
          <w:szCs w:val="20"/>
          <w:color w:val="auto"/>
        </w:rPr>
      </w:pPr>
    </w:p>
    <w:p>
      <w:pPr>
        <w:sectPr>
          <w:pgSz w:w="11900" w:h="16838" w:orient="portrait"/>
          <w:cols w:equalWidth="0" w:num="2">
            <w:col w:w="3700" w:space="720"/>
            <w:col w:w="6480"/>
          </w:cols>
          <w:pgMar w:left="240" w:top="459" w:right="7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w:t>
      </w:r>
    </w:p>
    <w:p>
      <w:pPr>
        <w:spacing w:after="0" w:line="200" w:lineRule="exact"/>
        <w:rPr>
          <w:sz w:val="20"/>
          <w:szCs w:val="20"/>
          <w:color w:val="auto"/>
        </w:rPr>
      </w:pPr>
    </w:p>
    <w:p>
      <w:pPr>
        <w:sectPr>
          <w:pgSz w:w="11900" w:h="16838" w:orient="portrait"/>
          <w:cols w:equalWidth="0" w:num="2">
            <w:col w:w="3700" w:space="720"/>
            <w:col w:w="6480"/>
          </w:cols>
          <w:pgMar w:left="240" w:top="459" w:right="759" w:bottom="1440" w:gutter="0" w:footer="0" w:header="0"/>
          <w:type w:val="continuous"/>
        </w:sectPr>
      </w:pP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number of shares outstanding excludes, as of December 11, 2019:</w:t>
      </w:r>
    </w:p>
    <w:p>
      <w:pPr>
        <w:spacing w:after="0" w:line="131"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1,649,076 shares of common stock issuable upon the exercise of outstanding stock options under our 2019 equity incentive plan; and</w:t>
      </w:r>
    </w:p>
    <w:p>
      <w:pPr>
        <w:spacing w:after="0" w:line="153" w:lineRule="exact"/>
        <w:rPr>
          <w:rFonts w:ascii="Arial" w:cs="Arial" w:eastAsia="Arial" w:hAnsi="Arial"/>
          <w:sz w:val="16"/>
          <w:szCs w:val="16"/>
          <w:color w:val="auto"/>
        </w:rPr>
      </w:pPr>
    </w:p>
    <w:p>
      <w:pPr>
        <w:ind w:left="1320" w:hanging="40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927,457 shares of common stock available for future grants under our 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240" w:top="459" w:right="7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20"/>
        <w:spacing w:after="0" w:line="269" w:lineRule="auto"/>
        <w:rPr>
          <w:sz w:val="20"/>
          <w:szCs w:val="20"/>
          <w:color w:val="auto"/>
        </w:rPr>
      </w:pPr>
      <w:r>
        <w:rPr>
          <w:rFonts w:ascii="Arial" w:cs="Arial" w:eastAsia="Arial" w:hAnsi="Arial"/>
          <w:sz w:val="17"/>
          <w:szCs w:val="17"/>
          <w:color w:val="auto"/>
        </w:rPr>
        <w:t>Investment in our common stock involves risks. Prior to making a decision about investing in our common stock,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by our predecessor company, Arcturus Therapeutics Ltd., and amended on April 10, 2019, as updated by annual, quarterly and other reports and documents we file with the SEC after the date of this prospectus and that are incorporated by reference herein or in any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This prospectus and the documents incorporated by reference into this prospectus contain certain forward-looking statements within the meaning of Section 27A of the Securities Act or 1933, as amended, or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6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8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our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applicable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will not receive any proceeds from the sale of the 2,400,000 shares of common stock by the selling stockholder under this prospectus.</w:t>
      </w:r>
    </w:p>
    <w:p>
      <w:pPr>
        <w:spacing w:after="0" w:line="248"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We will incur all costs associated with the preparation and filing of the registration statement of which this prospectus is a part. Brokerage fees, commissions and similar expenses, if any, attributable to the sale of shares offered hereby will be borne by the selling stockholder.</w:t>
      </w:r>
    </w:p>
    <w:p>
      <w:pPr>
        <w:spacing w:after="0" w:line="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240" w:top="459" w:right="11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200" w:right="180"/>
        <w:spacing w:after="0" w:line="269" w:lineRule="auto"/>
        <w:rPr>
          <w:sz w:val="20"/>
          <w:szCs w:val="20"/>
          <w:color w:val="auto"/>
        </w:rPr>
      </w:pPr>
      <w:r>
        <w:rPr>
          <w:rFonts w:ascii="Arial" w:cs="Arial" w:eastAsia="Arial" w:hAnsi="Arial"/>
          <w:sz w:val="17"/>
          <w:szCs w:val="17"/>
          <w:color w:val="auto"/>
        </w:rPr>
        <w:t>The selling stockholder, Ultragenyx Pharmaceutical Inc., or Ultragenyx, acquired the common stock being registered for resale pursuant to this prospectus, pursuant to an Equity Purchase Agreement, or the Equity Agreement, between us and the selling stockholder dated as of June 18, 2019, pursuant to which we sold to the selling stockholder on June 19, 2019 an aggregate of 2,400,000 shares of our common stock at a price of $10.00 per share and granted to the selling stockholder a two-year right to purchase up to 600,000 additional shares of our common stock at a price of $16.00 per share, or the Additional Shares. In the event the purchase of the Additional Shares would result in the selling stockholder and its affiliates owning in excess of 19.99% of the then-issued and outstanding shares of common stock immediately after giving effect to such purchase, the selling stockholder shall only be entitled to purchase that number of Additional Shares that would result in the selling stockholder and its affiliates owning a number of shares of common stock equal to 19.99% of the then-issued and outstanding shares of common stock immediately after giving effect to such purchase. In the event that the selling stockholder is not permitted to purchase all of the Additional Shares, (A) the expiration date shall be extended until the earlier of (x) such time as the selling stockholder may purchase any remaining portion of the Additional Shares and (y) the fourth anniversary of the closing date.</w:t>
      </w:r>
    </w:p>
    <w:p>
      <w:pPr>
        <w:spacing w:after="0" w:line="18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Pursuant to the terms of the Equity Agreement, until the later of (i) June 19, 2020 or (ii) the date on which the selling stockholder beneficially owns less than 8.0% of our total voting power, at each annual stockholders meeting or any stockholders meeting at which members of the Board of Directors are to be elected, we must nominate one director designated by the selling stockholder, or the Designee. Additionally, the Designee is required to be appointed to all Board committees (subject to applicable Nasdaq rules). The selling stockholder also has the right to have the chief executive officer of the selling stockholder attend Board meetings as a non-voting observer. Our director, and the executive vice president and general counsel of Ultragenyx, Karah Parschauer is the initial Designee.</w:t>
      </w:r>
    </w:p>
    <w:p>
      <w:pPr>
        <w:spacing w:after="0" w:line="19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Pursuant to the Equity Agreement, the selling stockholder agreed to certain standstill provisions and restrictions on transfer of the shares of common stock. The standstill provisions and transfer restrictions last until June 19, 2021, and may terminate earlier upon the occurrence of certain events set forth in the Equity Agreement.</w:t>
      </w:r>
    </w:p>
    <w:p>
      <w:pPr>
        <w:spacing w:after="0" w:line="181"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Also on June 18, 2019, we and the selling stockholder entered into a Third Amendment, or the Amendment, to the Research Collaboration and License Agreement, dated October 26, 2015, as amended on October 17, 2017 and April 20, 2018. The Amendment expands the collaboration between us and the selling stockholder to cover additional nucleic acid modalities including mRNA, DNA, siRNA therapeutics. The Amendment also expands the existing intellectual property license to cover manufacturing patents and know-how. The Amendment provides the selling stockholder with the right to identify a total of ten rare disease targets to be reserved for future collaborative development with us, which expands this program from 8 to 10 total reserved rare disease targets. The Amendment also clarifies certain obligations of us and the selling stockholder with respect to manufacturing cooperation and data sharing.</w:t>
      </w:r>
    </w:p>
    <w:p>
      <w:pPr>
        <w:spacing w:after="0" w:line="189"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Amendment also eliminated certain target exercise payments, exclusivity extension fees and optimization milestone payments that were previously required to be paid by the selling stockholder to exercise options and extend reserve target exclusivity. In connection with the Amendment, the selling stockholder made a one-time payment to us of $6,000,000. Finally, the Amendment narrowed the terms under which a royalty or milestone payment that may be required to be paid by the selling stockholder could be reduced based on our and third parties’ intellectual property coverage over a developed product.</w:t>
      </w:r>
    </w:p>
    <w:p>
      <w:pPr>
        <w:spacing w:after="0" w:line="18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entered into a registration rights agreement with the selling stockholder on June 18, 2019, under which we agreed to file the registration statement of which this prospectus forms a part covering the resale of the shares of common stock sold to the selling stockholder by December 15, 2019. In connection therewith, we also granted the selling stockholder certain “piggy-back” registration rights with respect to registration statements that we may file in the future.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Other than the relationships described herein, to our knowledge, the selling stockholder and its affiliates are not employees or suppliers of ours or our affiliates. Within the past three years, other than the relationships described herein, neither the selling stockholder nor any of its affiliates have held a position as an officer a director of ours, nor has the selling stockholder had any material relationship of any kind with us or any of our affiliates. All information with respect to share ownership has been furnished by the selling stockholder. The shares being offered are being registered to permit public secondary trading of such shares and the selling stockholder may offer all or part of the shares it owns for resale from time to time in one or more transactions pursuant to this prospectus. To our knowledge, neither the selling stockholder nor its affiliates has any family relationships with our officers, other directors or controlling stockholders.</w:t>
      </w:r>
    </w:p>
    <w:p>
      <w:pPr>
        <w:spacing w:after="0" w:line="189"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If the selling stockholder is an affiliate of broker-dealers, it and any participating broker-dealers are deemed to be “underwriters” within the meaning of the Securities Act, and any commissions or discounts given to the selling stockholder or broker-dealer may be regarded as underwriting commissions or discounts under the Securities Act.</w:t>
      </w:r>
    </w:p>
    <w:p>
      <w:pPr>
        <w:spacing w:after="0" w:line="181"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The term “selling stockholder” also includes any transferees, pledgees, donees, or other successors in interest to the selling stockholder named in the table below. To our knowledge, the selling stockholder has sole voting and investment power with respect to the shares of common stock set forth opposite the selling stockholder’s name. We will file a supplement to this prospectus (or a post-effective amendment hereto, if necessary) to name successors to any named selling stockholder who is able to use this prospectus to resell the common stock registered hereby.</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40" w:type="dxa"/>
            <w:vAlign w:val="bottom"/>
            <w:gridSpan w:val="4"/>
            <w:vMerge w:val="restart"/>
          </w:tcPr>
          <w:p>
            <w:pPr>
              <w:jc w:val="center"/>
              <w:ind w:right="600"/>
              <w:spacing w:after="0"/>
              <w:rPr>
                <w:sz w:val="20"/>
                <w:szCs w:val="20"/>
                <w:color w:val="auto"/>
              </w:rPr>
            </w:pPr>
            <w:r>
              <w:rPr>
                <w:rFonts w:ascii="Arial" w:cs="Arial" w:eastAsia="Arial" w:hAnsi="Arial"/>
                <w:sz w:val="14"/>
                <w:szCs w:val="14"/>
                <w:b w:val="1"/>
                <w:bCs w:val="1"/>
                <w:color w:val="auto"/>
                <w:w w:val="90"/>
              </w:rPr>
              <w:t>Shares Beneficially</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9"/>
              </w:rPr>
              <w:t>Maximum</w:t>
            </w:r>
          </w:p>
        </w:tc>
        <w:tc>
          <w:tcPr>
            <w:tcW w:w="21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40" w:type="dxa"/>
            <w:vAlign w:val="bottom"/>
            <w:gridSpan w:val="4"/>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Number of</w:t>
            </w:r>
          </w:p>
        </w:tc>
        <w:tc>
          <w:tcPr>
            <w:tcW w:w="21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Immediately After Sale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Owned Before the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21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62"/>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26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4"/>
              </w:rPr>
              <w:t>Offering(1)</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Offered in</w:t>
            </w:r>
          </w:p>
        </w:tc>
        <w:tc>
          <w:tcPr>
            <w:tcW w:w="2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Shares in the Offering(1)(2)</w:t>
            </w:r>
          </w:p>
        </w:tc>
        <w:tc>
          <w:tcPr>
            <w:tcW w:w="0" w:type="dxa"/>
            <w:vAlign w:val="bottom"/>
          </w:tcPr>
          <w:p>
            <w:pPr>
              <w:spacing w:after="0"/>
              <w:rPr>
                <w:sz w:val="1"/>
                <w:szCs w:val="1"/>
                <w:color w:val="auto"/>
              </w:rPr>
            </w:pPr>
          </w:p>
        </w:tc>
      </w:tr>
      <w:tr>
        <w:trPr>
          <w:trHeight w:val="129"/>
        </w:trPr>
        <w:tc>
          <w:tcPr>
            <w:tcW w:w="5040" w:type="dxa"/>
            <w:vAlign w:val="bottom"/>
            <w:gridSpan w:val="3"/>
            <w:vMerge w:val="continue"/>
          </w:tcPr>
          <w:p>
            <w:pPr>
              <w:spacing w:after="0"/>
              <w:rPr>
                <w:sz w:val="11"/>
                <w:szCs w:val="11"/>
                <w:color w:val="auto"/>
              </w:rPr>
            </w:pPr>
          </w:p>
        </w:tc>
        <w:tc>
          <w:tcPr>
            <w:tcW w:w="78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Number</w:t>
            </w:r>
          </w:p>
        </w:tc>
        <w:tc>
          <w:tcPr>
            <w:tcW w:w="12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Percentage(3)</w:t>
            </w:r>
          </w:p>
        </w:tc>
        <w:tc>
          <w:tcPr>
            <w:tcW w:w="58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5"/>
              </w:rPr>
              <w:t>the Offering</w:t>
            </w:r>
          </w:p>
        </w:tc>
        <w:tc>
          <w:tcPr>
            <w:tcW w:w="6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Number</w:t>
            </w:r>
          </w:p>
        </w:tc>
        <w:tc>
          <w:tcPr>
            <w:tcW w:w="12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Ultragenyx Pharmaceutical Inc.(4)</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3,000,000</w:t>
            </w:r>
          </w:p>
        </w:tc>
        <w:tc>
          <w:tcPr>
            <w:tcW w:w="4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19.06%</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2,400,000</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600,000</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300" w:hanging="436"/>
        <w:spacing w:after="0" w:line="25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and generally includes voting or investment power with respect to securities. Shares of common stock subject to warrants, options or rights currently exercisable, or exercisable within 60 days of December 11, 2019 are counted as beneficially owned by the selling stockholder.</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all of the shares of common stock offered are sold.</w:t>
      </w:r>
    </w:p>
    <w:p>
      <w:pPr>
        <w:spacing w:after="0" w:line="9" w:lineRule="exact"/>
        <w:rPr>
          <w:rFonts w:ascii="Arial" w:cs="Arial" w:eastAsia="Arial" w:hAnsi="Arial"/>
          <w:sz w:val="18"/>
          <w:szCs w:val="18"/>
          <w:color w:val="auto"/>
        </w:rPr>
      </w:pPr>
    </w:p>
    <w:p>
      <w:pPr>
        <w:ind w:left="640" w:right="62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15,137,964 shares of our common stock outstanding on December 11, 2019 and 600,000 shares to be issued upon exercise of the Additional Shares.</w:t>
      </w:r>
    </w:p>
    <w:p>
      <w:pPr>
        <w:ind w:left="640" w:right="140" w:hanging="436"/>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Schedule 13D filed with the SEC on June 26, 2019. Ownership consists of (i) 2,400,000 shares and (ii) 600,000 shares currently issuable pursuant to the Equity Agreement between the Company and Ultragenyx Pharmaceutical Inc. The address of Ultragenyx Pharmaceutical Inc. is 60 Leveroni Court, Novato, California 94949.</w:t>
      </w:r>
    </w:p>
    <w:p>
      <w:pPr>
        <w:spacing w:after="0" w:line="19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may require the selling stockholder to suspend the sales of the common stock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77" w:lineRule="exact"/>
        <w:rPr>
          <w:sz w:val="20"/>
          <w:szCs w:val="20"/>
          <w:color w:val="auto"/>
        </w:rPr>
      </w:pPr>
    </w:p>
    <w:p>
      <w:pPr>
        <w:ind w:left="200" w:right="480"/>
        <w:spacing w:after="0" w:line="282" w:lineRule="auto"/>
        <w:rPr>
          <w:sz w:val="20"/>
          <w:szCs w:val="20"/>
          <w:color w:val="auto"/>
        </w:rPr>
      </w:pPr>
      <w:r>
        <w:rPr>
          <w:rFonts w:ascii="Arial" w:cs="Arial" w:eastAsia="Arial" w:hAnsi="Arial"/>
          <w:sz w:val="18"/>
          <w:szCs w:val="18"/>
          <w:b w:val="1"/>
          <w:bCs w:val="1"/>
          <w:color w:val="auto"/>
        </w:rPr>
        <w:t>Information concerning the selling stockholder may change from time to time and any changed information will be set forth in prospectus supplements if and when necessary.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are registering the shares of common stock on behalf of the selling stockholder. The selling stockholder and any of their pledgees, assignees</w:t>
      </w:r>
    </w:p>
    <w:p>
      <w:pPr>
        <w:spacing w:after="0" w:line="35"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and successors-in-interest may, from time to time, sell any or all of the common stock covered hereby on the Nasdaq Global Market or any other stock exchange, market or trading facility on which the common stock is traded or in private transactions. These sales may be at fixed prices, at prevailing market prices at the time of the sale, at varying prices determined at the time of sale, or at negotiated prices. The selling stockholder may use any one or more of the following methods when selling common stock:</w:t>
      </w:r>
    </w:p>
    <w:p>
      <w:pPr>
        <w:spacing w:after="0" w:line="95"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common stock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distributions in accordance with the rules of the applicable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through broker-dealers that agree with the selling stockholder to sell a specified number of such common stock at a stipulated price per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selling stockholder may also sell common stock under Rule 144 or any other exemption from registration under the Securities Act, if available, rather than under this prospectus.</w:t>
      </w:r>
    </w:p>
    <w:p>
      <w:pPr>
        <w:spacing w:after="0" w:line="17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Broker-dealers engaged by the selling stockholder may arrange for other broker-dealers to participate in sales. Broker-dealers may receive commissions or discounts from the selling stockholder (or, if any broker-dealer acts as agent for the purchaser of common stock,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8"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 connection with the sale of the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common stock short and deliver the common stock to close out their short positions, or loan or pledge the common stock to broker-dealers that in turn may sell the common stock. The selling stockholder may also enter into option or other transactions with broker-dealers or other financial institutions or create one or more derivative securities which require the delivery to such broker-dealer or other financial institution of common stock offered by this prospectus, which common stock such broker-dealer or other financial institution may resell pursuant to this prospectus (as supplemented or amended to reflect such transaction).</w:t>
      </w:r>
    </w:p>
    <w:p>
      <w:pPr>
        <w:spacing w:after="0" w:line="17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selling stockholder and any broker-dealers or agents that are involved in selling the common stock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stockholder has informed us that it does not have any written or oral agreement or understanding, directly or indirectly, with any person to distribute the common stock.</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common stock. We have agreed to indemnify the selling stockholder against certain losses, claims, damages and liabilities, including liabilities under the Securities Act. We will not receive any proceeds from the sale of the shares by the selling stockholder.</w:t>
      </w:r>
    </w:p>
    <w:p>
      <w:pPr>
        <w:spacing w:after="0" w:line="18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agreed to keep this prospectus effective until the earlier of (i) following the date in which selling stockholder has acquired all of the Additional Shares under the Equity Agreement or the selling stockholder’s right to acquire the Additional Shares under the Equity Agreement has terminated, the date that the common stock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the date that all of the common stock has been sold pursuant to this prospectus or Rule 144 under the Securities Act or any other rule of similar effect. The resale common stock will be sold only through registered or licensed brokers or dealers if required under applicable state securities laws. In addition, in certain states, the resale common stock covered hereby may not be sold unless they have been registered or qualified for sale in the applicable state or an exemption from the registration or qualification requirement is available and is complied with.</w:t>
      </w:r>
    </w:p>
    <w:p>
      <w:pPr>
        <w:spacing w:after="0" w:line="166"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common stock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validity of the common stock being offered hereby will be passed on by Dentons US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3"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common stock that may be offered under this prospectus. This prospectus does not contain all of the information set forth in the registration statement and the exhibits to the registration statement. For further information with respect to us and the common stock that may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have been previously filed with the SEC by us or our predecessor, Arcturus Therapeutics Ltd.:</w:t>
      </w:r>
    </w:p>
    <w:p>
      <w:pPr>
        <w:spacing w:after="0" w:line="92" w:lineRule="exact"/>
        <w:rPr>
          <w:sz w:val="20"/>
          <w:szCs w:val="20"/>
          <w:color w:val="auto"/>
        </w:rPr>
      </w:pPr>
    </w:p>
    <w:p>
      <w:pPr>
        <w:ind w:left="1180" w:right="4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as filed with the SEC on March 18, 2019 by Arcturus Therapeutics Ltd. and as amended on </w:t>
      </w:r>
      <w:hyperlink r:id="rId39">
        <w:r>
          <w:rPr>
            <w:rFonts w:ascii="Arial" w:cs="Arial" w:eastAsia="Arial" w:hAnsi="Arial"/>
            <w:sz w:val="18"/>
            <w:szCs w:val="18"/>
            <w:u w:val="single" w:color="auto"/>
            <w:color w:val="0000EE"/>
          </w:rPr>
          <w:t>April 10, 2019</w:t>
        </w:r>
      </w:hyperlink>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Quarterly Report on Form 10-Q for the quarter ended </w:t>
      </w:r>
      <w:hyperlink r:id="rId41">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by Arcturus Therapeutics Ltd. with the SEC on May 13, 2019, and the Quarterly Reports on Form 10-Q for the quarters </w:t>
      </w:r>
      <w:hyperlink r:id="rId42">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3">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 filed by us with the SEC on August 14, 2019 and November 8, 2019, respectively;</w:t>
      </w:r>
    </w:p>
    <w:p>
      <w:pPr>
        <w:spacing w:after="0" w:line="86"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the Current Reports on Form 8-K filed by Arcturus Therapeutics Ltd. with the SEC on </w:t>
      </w:r>
      <w:hyperlink r:id="rId44">
        <w:r>
          <w:rPr>
            <w:rFonts w:ascii="Arial" w:cs="Arial" w:eastAsia="Arial" w:hAnsi="Arial"/>
            <w:sz w:val="18"/>
            <w:szCs w:val="18"/>
            <w:u w:val="single" w:color="auto"/>
            <w:color w:val="0000EE"/>
          </w:rPr>
          <w:t>February 11,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5">
        <w:r>
          <w:rPr>
            <w:rFonts w:ascii="Arial" w:cs="Arial" w:eastAsia="Arial" w:hAnsi="Arial"/>
            <w:sz w:val="18"/>
            <w:szCs w:val="18"/>
            <w:u w:val="single" w:color="auto"/>
            <w:color w:val="0000EE"/>
          </w:rPr>
          <w:t>May 20, 2019</w:t>
        </w:r>
      </w:hyperlink>
      <w:r>
        <w:rPr>
          <w:rFonts w:ascii="Arial" w:cs="Arial" w:eastAsia="Arial" w:hAnsi="Arial"/>
          <w:sz w:val="18"/>
          <w:szCs w:val="18"/>
          <w:color w:val="auto"/>
        </w:rPr>
        <w:t xml:space="preserve">, and the Current Reports on Form 8-K filed by us with the SEC on </w:t>
      </w:r>
      <w:hyperlink r:id="rId46">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June 20,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July 29, 2019</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August 2, 2019</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August 5,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September 16,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3">
        <w:r>
          <w:rPr>
            <w:rFonts w:ascii="Arial" w:cs="Arial" w:eastAsia="Arial" w:hAnsi="Arial"/>
            <w:sz w:val="18"/>
            <w:szCs w:val="18"/>
            <w:u w:val="single" w:color="auto"/>
            <w:color w:val="0000EE"/>
          </w:rPr>
          <w:t>September 23,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4">
        <w:r>
          <w:rPr>
            <w:rFonts w:ascii="Arial" w:cs="Arial" w:eastAsia="Arial" w:hAnsi="Arial"/>
            <w:sz w:val="18"/>
            <w:szCs w:val="18"/>
            <w:u w:val="single" w:color="auto"/>
            <w:color w:val="0000EE"/>
          </w:rPr>
          <w:t xml:space="preserve">September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 xml:space="preserve">October 31, 2019 </w:t>
        </w:r>
      </w:hyperlink>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each case, except for information</w:t>
      </w:r>
      <w:r>
        <w:rPr>
          <w:rFonts w:ascii="Arial" w:cs="Arial" w:eastAsia="Arial" w:hAnsi="Arial"/>
          <w:sz w:val="18"/>
          <w:szCs w:val="18"/>
          <w:color w:val="0000EE"/>
        </w:rPr>
        <w:t xml:space="preserve"> </w:t>
      </w:r>
      <w:r>
        <w:rPr>
          <w:rFonts w:ascii="Arial" w:cs="Arial" w:eastAsia="Arial" w:hAnsi="Arial"/>
          <w:sz w:val="18"/>
          <w:szCs w:val="18"/>
          <w:color w:val="000000"/>
        </w:rPr>
        <w:t>contained therein which is furnished rather than filed); and</w:t>
      </w:r>
    </w:p>
    <w:p>
      <w:pPr>
        <w:spacing w:after="0" w:line="92" w:lineRule="exact"/>
        <w:rPr>
          <w:rFonts w:ascii="Arial" w:cs="Arial" w:eastAsia="Arial" w:hAnsi="Arial"/>
          <w:sz w:val="18"/>
          <w:szCs w:val="18"/>
          <w:color w:val="0000EE"/>
        </w:rPr>
      </w:pPr>
    </w:p>
    <w:p>
      <w:pPr>
        <w:ind w:left="1180" w:right="20" w:hanging="436"/>
        <w:spacing w:after="0" w:line="286"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the registration statement on Form 8-A registering our common stock under Section 12 of the Exchange Act, which was filed with the SEC by Arcturus Therapeutics Ltd. on </w:t>
      </w:r>
      <w:hyperlink r:id="rId56">
        <w:r>
          <w:rPr>
            <w:rFonts w:ascii="Arial" w:cs="Arial" w:eastAsia="Arial" w:hAnsi="Arial"/>
            <w:sz w:val="17"/>
            <w:szCs w:val="17"/>
            <w:u w:val="single" w:color="auto"/>
            <w:color w:val="0000EE"/>
          </w:rPr>
          <w:t>May 17, 2013</w:t>
        </w:r>
      </w:hyperlink>
      <w:r>
        <w:rPr>
          <w:rFonts w:ascii="Arial" w:cs="Arial" w:eastAsia="Arial" w:hAnsi="Arial"/>
          <w:sz w:val="17"/>
          <w:szCs w:val="17"/>
          <w:color w:val="auto"/>
        </w:rPr>
        <w:t xml:space="preserve">, including any amendments or reports filed for purposes of updating such description, including the Form 8-K12B filed by us with the SEC on </w:t>
      </w:r>
      <w:hyperlink r:id="rId46">
        <w:r>
          <w:rPr>
            <w:rFonts w:ascii="Arial" w:cs="Arial" w:eastAsia="Arial" w:hAnsi="Arial"/>
            <w:sz w:val="17"/>
            <w:szCs w:val="17"/>
            <w:u w:val="single" w:color="auto"/>
            <w:color w:val="0000EE"/>
          </w:rPr>
          <w:t>June 14, 2019</w:t>
        </w:r>
      </w:hyperlink>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left="200" w:right="60"/>
        <w:spacing w:after="0" w:line="257"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(1) after the date of the filing of the registration statement of which this prospectus forms a part and prior to its effectiveness and (2) prior to the termination of any offering of common stock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8" w:lineRule="exact"/>
        <w:rPr>
          <w:rFonts w:ascii="Arial" w:cs="Arial" w:eastAsia="Arial" w:hAnsi="Arial"/>
          <w:sz w:val="17"/>
          <w:szCs w:val="17"/>
          <w:color w:val="auto"/>
        </w:rPr>
      </w:pPr>
    </w:p>
    <w:p>
      <w:pPr>
        <w:ind w:left="200" w:right="100"/>
        <w:spacing w:after="0" w:line="302"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any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4" w:lineRule="exact"/>
        <w:rPr>
          <w:rFonts w:ascii="Arial" w:cs="Arial" w:eastAsia="Arial" w:hAnsi="Arial"/>
          <w:sz w:val="17"/>
          <w:szCs w:val="17"/>
          <w:color w:val="auto"/>
        </w:rPr>
      </w:pPr>
    </w:p>
    <w:p>
      <w:pPr>
        <w:ind w:left="200" w:right="52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rFonts w:ascii="Arial" w:cs="Arial" w:eastAsia="Arial" w:hAnsi="Arial"/>
          <w:sz w:val="17"/>
          <w:szCs w:val="17"/>
          <w:color w:val="auto"/>
        </w:rPr>
      </w:pPr>
    </w:p>
    <w:p>
      <w:pPr>
        <w:jc w:val="center"/>
        <w:ind w:right="-19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rFonts w:ascii="Arial" w:cs="Arial" w:eastAsia="Arial" w:hAnsi="Arial"/>
          <w:sz w:val="17"/>
          <w:szCs w:val="17"/>
          <w:color w:val="auto"/>
        </w:rPr>
      </w:pPr>
    </w:p>
    <w:p>
      <w:pPr>
        <w:jc w:val="center"/>
        <w:ind w:right="-19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rFonts w:ascii="Arial" w:cs="Arial" w:eastAsia="Arial" w:hAnsi="Arial"/>
          <w:sz w:val="17"/>
          <w:szCs w:val="17"/>
          <w:color w:val="auto"/>
        </w:rPr>
      </w:pPr>
    </w:p>
    <w:p>
      <w:pPr>
        <w:jc w:val="center"/>
        <w:ind w:right="-199"/>
        <w:spacing w:after="0"/>
        <w:rPr>
          <w:sz w:val="20"/>
          <w:szCs w:val="20"/>
          <w:color w:val="auto"/>
        </w:rPr>
      </w:pPr>
      <w:r>
        <w:rPr>
          <w:rFonts w:ascii="Arial" w:cs="Arial" w:eastAsia="Arial" w:hAnsi="Arial"/>
          <w:sz w:val="18"/>
          <w:szCs w:val="18"/>
          <w:color w:val="auto"/>
        </w:rPr>
        <w:t>San Diego, California 92121</w:t>
      </w:r>
    </w:p>
    <w:p>
      <w:pPr>
        <w:spacing w:after="0" w:line="9" w:lineRule="exact"/>
        <w:rPr>
          <w:rFonts w:ascii="Arial" w:cs="Arial" w:eastAsia="Arial" w:hAnsi="Arial"/>
          <w:sz w:val="17"/>
          <w:szCs w:val="17"/>
          <w:color w:val="auto"/>
        </w:rPr>
      </w:pPr>
    </w:p>
    <w:p>
      <w:pPr>
        <w:jc w:val="center"/>
        <w:ind w:right="-199"/>
        <w:spacing w:after="0"/>
        <w:rPr>
          <w:sz w:val="20"/>
          <w:szCs w:val="20"/>
          <w:color w:val="auto"/>
        </w:rPr>
      </w:pPr>
      <w:r>
        <w:rPr>
          <w:rFonts w:ascii="Arial" w:cs="Arial" w:eastAsia="Arial" w:hAnsi="Arial"/>
          <w:sz w:val="18"/>
          <w:szCs w:val="18"/>
          <w:color w:val="auto"/>
        </w:rPr>
        <w:t>Telephone: (858) 900-2660</w:t>
      </w:r>
    </w:p>
    <w:p>
      <w:pPr>
        <w:spacing w:after="0" w:line="9" w:lineRule="exact"/>
        <w:rPr>
          <w:rFonts w:ascii="Arial" w:cs="Arial" w:eastAsia="Arial" w:hAnsi="Arial"/>
          <w:sz w:val="17"/>
          <w:szCs w:val="17"/>
          <w:color w:val="auto"/>
        </w:rPr>
      </w:pPr>
    </w:p>
    <w:p>
      <w:pPr>
        <w:jc w:val="center"/>
        <w:ind w:right="-199"/>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7"/>
          <w:szCs w:val="17"/>
          <w:color w:val="auto"/>
        </w:rPr>
      </w:pPr>
    </w:p>
    <w:p>
      <w:pPr>
        <w:ind w:left="200"/>
        <w:spacing w:after="0" w:line="264"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114" w:lineRule="exact"/>
        <w:rPr>
          <w:rFonts w:ascii="Arial" w:cs="Arial" w:eastAsia="Arial" w:hAnsi="Arial"/>
          <w:sz w:val="17"/>
          <w:szCs w:val="17"/>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following table sets forth all costs and expenses payable by us in connection with the sale of the common stock being registered hereunder. All of the amounts shown shall be paid by us and are estimates except for the SEC registration fee.</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Miscellaneous</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55,302.11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Further subsections of DGCL Section 145 provide that:</w:t>
      </w:r>
    </w:p>
    <w:p>
      <w:pPr>
        <w:spacing w:after="0" w:line="225" w:lineRule="exact"/>
        <w:rPr>
          <w:sz w:val="20"/>
          <w:szCs w:val="20"/>
          <w:color w:val="auto"/>
        </w:rPr>
      </w:pPr>
    </w:p>
    <w:p>
      <w:pPr>
        <w:ind w:left="200" w:right="140" w:firstLine="4"/>
        <w:spacing w:after="0" w:line="312" w:lineRule="auto"/>
        <w:tabs>
          <w:tab w:leader="none" w:pos="4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146" w:lineRule="exact"/>
        <w:rPr>
          <w:rFonts w:ascii="Arial" w:cs="Arial" w:eastAsia="Arial" w:hAnsi="Arial"/>
          <w:sz w:val="16"/>
          <w:szCs w:val="16"/>
          <w:color w:val="auto"/>
        </w:rPr>
      </w:pPr>
    </w:p>
    <w:p>
      <w:pPr>
        <w:jc w:val="both"/>
        <w:ind w:left="200" w:right="140" w:firstLine="4"/>
        <w:spacing w:after="0" w:line="264"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
        <w:spacing w:after="0" w:line="302" w:lineRule="auto"/>
        <w:tabs>
          <w:tab w:leader="none" w:pos="4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54"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entered into indemnification agreements with our officers and directors.</w:t>
      </w:r>
    </w:p>
    <w:p>
      <w:pPr>
        <w:spacing w:after="0" w:line="225"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Our certificate of incorporation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178" w:lineRule="exact"/>
        <w:rPr>
          <w:sz w:val="20"/>
          <w:szCs w:val="20"/>
          <w:color w:val="auto"/>
        </w:rPr>
      </w:pPr>
    </w:p>
    <w:p>
      <w:pPr>
        <w:jc w:val="both"/>
        <w:ind w:left="200" w:right="620"/>
        <w:spacing w:after="0" w:line="264" w:lineRule="auto"/>
        <w:rPr>
          <w:sz w:val="20"/>
          <w:szCs w:val="20"/>
          <w:color w:val="auto"/>
        </w:rPr>
      </w:pPr>
      <w:r>
        <w:rPr>
          <w:rFonts w:ascii="Arial" w:cs="Arial" w:eastAsia="Arial" w:hAnsi="Arial"/>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the Exhibit Index attached to this registration statement and incorporated herein by this reference.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460" w:hanging="256"/>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200" w:right="80" w:firstLine="4"/>
        <w:spacing w:after="0" w:line="293" w:lineRule="auto"/>
        <w:tabs>
          <w:tab w:leader="none" w:pos="4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
        <w:spacing w:after="0" w:line="277" w:lineRule="auto"/>
        <w:tabs>
          <w:tab w:leader="none" w:pos="5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200" w:right="3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left="200" w:right="60" w:firstLine="4"/>
        <w:spacing w:after="0" w:line="264"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200" w:right="20" w:firstLine="4"/>
        <w:spacing w:after="0" w:line="277"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0" w:hanging="256"/>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200" w:right="440" w:firstLine="4"/>
        <w:spacing w:after="0" w:line="277"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200" w:firstLine="4"/>
        <w:spacing w:after="0" w:line="269" w:lineRule="auto"/>
        <w:tabs>
          <w:tab w:leader="none" w:pos="4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3" w:lineRule="exact"/>
        <w:rPr>
          <w:sz w:val="20"/>
          <w:szCs w:val="20"/>
          <w:color w:val="auto"/>
        </w:rPr>
      </w:pPr>
    </w:p>
    <w:p>
      <w:pPr>
        <w:ind w:left="200" w:right="200" w:firstLine="4"/>
        <w:spacing w:after="0" w:line="257"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200" w:firstLine="4"/>
        <w:spacing w:after="0" w:line="271" w:lineRule="auto"/>
        <w:tabs>
          <w:tab w:leader="none" w:pos="4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described in Item 15,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any registrant in the successful defense of any action, suit or proceeding) is asserted by such director, officer or controlling person in connection with the securities being registered, each appropriate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20" w:type="dxa"/>
            <w:vAlign w:val="bottom"/>
            <w:gridSpan w:val="6"/>
          </w:tcPr>
          <w:p>
            <w:pPr>
              <w:ind w:left="1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720" w:type="dxa"/>
            <w:vAlign w:val="bottom"/>
            <w:gridSpan w:val="7"/>
          </w:tcPr>
          <w:p>
            <w:pPr>
              <w:spacing w:after="0"/>
              <w:rPr>
                <w:sz w:val="20"/>
                <w:szCs w:val="20"/>
                <w:color w:val="auto"/>
              </w:rPr>
            </w:pPr>
            <w:r>
              <w:rPr>
                <w:rFonts w:ascii="Arial" w:cs="Arial" w:eastAsia="Arial" w:hAnsi="Arial"/>
                <w:sz w:val="18"/>
                <w:szCs w:val="18"/>
                <w:color w:val="0000EE"/>
              </w:rPr>
              <w:t>Opinion of Dentons US LLP</w:t>
            </w:r>
          </w:p>
        </w:tc>
        <w:tc>
          <w:tcPr>
            <w:tcW w:w="46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159"/>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9680" w:type="dxa"/>
            <w:vAlign w:val="bottom"/>
            <w:tcBorders>
              <w:bottom w:val="single" w:sz="8" w:color="0000EE"/>
            </w:tcBorders>
            <w:gridSpan w:val="9"/>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Equity Purchase Agreement, dated as of June 18, 2019 (incorporated by reference to the Company’s Current Report on Form 8-K filed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80" w:type="dxa"/>
            <w:vAlign w:val="bottom"/>
            <w:gridSpan w:val="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on June 20, 2019)</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87"/>
              </w:rPr>
              <w:t>23.1+</w:t>
            </w:r>
          </w:p>
        </w:tc>
        <w:tc>
          <w:tcPr>
            <w:tcW w:w="560" w:type="dxa"/>
            <w:vAlign w:val="bottom"/>
          </w:tcPr>
          <w:p>
            <w:pPr>
              <w:spacing w:after="0"/>
              <w:rPr>
                <w:sz w:val="24"/>
                <w:szCs w:val="24"/>
                <w:color w:val="auto"/>
              </w:rPr>
            </w:pPr>
          </w:p>
        </w:tc>
        <w:tc>
          <w:tcPr>
            <w:tcW w:w="4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Independent Registered Public Accounting Firm</w:t>
            </w:r>
          </w:p>
        </w:tc>
        <w:tc>
          <w:tcPr>
            <w:tcW w:w="5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87"/>
              </w:rPr>
              <w:t>23.2+</w:t>
            </w:r>
          </w:p>
        </w:tc>
        <w:tc>
          <w:tcPr>
            <w:tcW w:w="56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87"/>
              </w:rPr>
              <w:t>23.3+</w:t>
            </w:r>
          </w:p>
        </w:tc>
        <w:tc>
          <w:tcPr>
            <w:tcW w:w="56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Consent of Dentons US LLP (contained in Exhibit 5.1)</w:t>
            </w:r>
          </w:p>
        </w:tc>
        <w:tc>
          <w:tcPr>
            <w:tcW w:w="57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87"/>
              </w:rPr>
              <w:t>24.1+</w:t>
            </w:r>
          </w:p>
        </w:tc>
        <w:tc>
          <w:tcPr>
            <w:tcW w:w="56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Power of Attorney</w:t>
              </w:r>
            </w:hyperlink>
          </w:p>
        </w:tc>
        <w:tc>
          <w:tcPr>
            <w:tcW w:w="8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00"/>
          </w:cols>
          <w:pgMar w:left="24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December 9, 2019.</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ARCTURUS THERAPEUTICS HOLDINGS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E. Payne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Joseph E. Payne and</w:t>
      </w:r>
      <w:r>
        <w:rPr>
          <w:rFonts w:ascii="Arial" w:cs="Arial" w:eastAsia="Arial" w:hAnsi="Arial"/>
          <w:sz w:val="17"/>
          <w:szCs w:val="17"/>
          <w:b w:val="1"/>
          <w:bCs w:val="1"/>
          <w:color w:val="auto"/>
        </w:rPr>
        <w:t xml:space="preserve"> </w:t>
      </w:r>
      <w:r>
        <w:rPr>
          <w:rFonts w:ascii="Arial" w:cs="Arial" w:eastAsia="Arial" w:hAnsi="Arial"/>
          <w:sz w:val="17"/>
          <w:szCs w:val="17"/>
          <w:color w:val="auto"/>
        </w:rPr>
        <w:t>Dr. Padmanabh Chivukula, and each of them acting individually, as his or her true and lawful attorneys- 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w:t>
      </w:r>
    </w:p>
    <w:p>
      <w:pPr>
        <w:spacing w:after="0" w:line="17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480" w:type="dxa"/>
            <w:vAlign w:val="bottom"/>
          </w:tcPr>
          <w:p>
            <w:pPr>
              <w:jc w:val="center"/>
              <w:ind w:left="52"/>
              <w:spacing w:after="0"/>
              <w:rPr>
                <w:sz w:val="20"/>
                <w:szCs w:val="20"/>
                <w:color w:val="auto"/>
              </w:rPr>
            </w:pPr>
            <w:r>
              <w:rPr>
                <w:rFonts w:ascii="Arial" w:cs="Arial" w:eastAsia="Arial" w:hAnsi="Arial"/>
                <w:sz w:val="14"/>
                <w:szCs w:val="14"/>
                <w:b w:val="1"/>
                <w:bCs w:val="1"/>
                <w:color w:val="auto"/>
              </w:rPr>
              <w:t>Title</w:t>
            </w:r>
          </w:p>
        </w:tc>
        <w:tc>
          <w:tcPr>
            <w:tcW w:w="2120" w:type="dxa"/>
            <w:vAlign w:val="bottom"/>
          </w:tcPr>
          <w:p>
            <w:pPr>
              <w:jc w:val="center"/>
              <w:ind w:left="713"/>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2"/>
              </w:rPr>
              <w:t>President, Chief Executive Officer</w:t>
            </w:r>
          </w:p>
        </w:tc>
        <w:tc>
          <w:tcPr>
            <w:tcW w:w="2120" w:type="dxa"/>
            <w:vAlign w:val="bottom"/>
          </w:tcPr>
          <w:p>
            <w:pPr>
              <w:jc w:val="center"/>
              <w:ind w:left="713"/>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6"/>
              </w:rPr>
              <w:t>Joseph E. Payne</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1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Padmanabh Chivukula</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5"/>
              </w:rPr>
              <w:t>Chief Scientific Officer,</w:t>
            </w:r>
          </w:p>
        </w:tc>
        <w:tc>
          <w:tcPr>
            <w:tcW w:w="2120" w:type="dxa"/>
            <w:vAlign w:val="bottom"/>
          </w:tcPr>
          <w:p>
            <w:pPr>
              <w:jc w:val="center"/>
              <w:ind w:left="713"/>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Dr. Padmanabh Chivukula</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0"/>
              </w:rPr>
              <w:t>Chief Operating Officer and Secretary</w:t>
            </w:r>
          </w:p>
        </w:tc>
        <w:tc>
          <w:tcPr>
            <w:tcW w:w="21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Farrell</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1"/>
              </w:rPr>
              <w:t>Chairman of the Board</w:t>
            </w:r>
          </w:p>
        </w:tc>
        <w:tc>
          <w:tcPr>
            <w:tcW w:w="2120" w:type="dxa"/>
            <w:vAlign w:val="bottom"/>
          </w:tcPr>
          <w:p>
            <w:pPr>
              <w:jc w:val="center"/>
              <w:ind w:left="713"/>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Dr. Peter Farrell</w:t>
            </w:r>
          </w:p>
        </w:tc>
        <w:tc>
          <w:tcPr>
            <w:tcW w:w="44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Andy Sassine</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3"/>
              </w:rPr>
              <w:t>Chief Financial Officer and Director</w:t>
            </w:r>
          </w:p>
        </w:tc>
        <w:tc>
          <w:tcPr>
            <w:tcW w:w="2120" w:type="dxa"/>
            <w:vAlign w:val="bottom"/>
          </w:tcPr>
          <w:p>
            <w:pPr>
              <w:jc w:val="center"/>
              <w:ind w:left="713"/>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Andy Sassine</w:t>
            </w:r>
          </w:p>
        </w:tc>
        <w:tc>
          <w:tcPr>
            <w:tcW w:w="4480" w:type="dxa"/>
            <w:vAlign w:val="bottom"/>
          </w:tcPr>
          <w:p>
            <w:pPr>
              <w:jc w:val="center"/>
              <w:ind w:left="52"/>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21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Barlow</w:t>
            </w:r>
          </w:p>
        </w:tc>
        <w:tc>
          <w:tcPr>
            <w:tcW w:w="4480" w:type="dxa"/>
            <w:vAlign w:val="bottom"/>
          </w:tcPr>
          <w:p>
            <w:pPr>
              <w:jc w:val="center"/>
              <w:ind w:left="32"/>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jc w:val="center"/>
              <w:ind w:left="713"/>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James Barlow</w:t>
            </w:r>
          </w:p>
        </w:tc>
        <w:tc>
          <w:tcPr>
            <w:tcW w:w="44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Holmes</w:t>
            </w:r>
          </w:p>
        </w:tc>
        <w:tc>
          <w:tcPr>
            <w:tcW w:w="4480" w:type="dxa"/>
            <w:vAlign w:val="bottom"/>
          </w:tcPr>
          <w:p>
            <w:pPr>
              <w:jc w:val="center"/>
              <w:ind w:left="32"/>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jc w:val="center"/>
              <w:ind w:left="713"/>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Dr. Edward Holmes</w:t>
            </w:r>
          </w:p>
        </w:tc>
        <w:tc>
          <w:tcPr>
            <w:tcW w:w="4480" w:type="dxa"/>
            <w:vAlign w:val="bottom"/>
          </w:tcPr>
          <w:p>
            <w:pPr>
              <w:spacing w:after="0"/>
              <w:rPr>
                <w:sz w:val="19"/>
                <w:szCs w:val="19"/>
                <w:color w:val="auto"/>
              </w:rPr>
            </w:pPr>
          </w:p>
        </w:tc>
        <w:tc>
          <w:tcPr>
            <w:tcW w:w="21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7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940" w:type="dxa"/>
            <w:vAlign w:val="bottom"/>
          </w:tcPr>
          <w:p>
            <w:pPr>
              <w:jc w:val="center"/>
              <w:ind w:left="454"/>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Magda Marquet</w:t>
            </w:r>
          </w:p>
        </w:tc>
        <w:tc>
          <w:tcPr>
            <w:tcW w:w="4700" w:type="dxa"/>
            <w:vAlign w:val="bottom"/>
          </w:tcPr>
          <w:p>
            <w:pPr>
              <w:jc w:val="center"/>
              <w:ind w:right="14"/>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454"/>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Dr. Magda Marquet</w:t>
            </w:r>
          </w:p>
        </w:tc>
        <w:tc>
          <w:tcPr>
            <w:tcW w:w="47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Karah Parschauer</w:t>
            </w:r>
          </w:p>
        </w:tc>
        <w:tc>
          <w:tcPr>
            <w:tcW w:w="4700" w:type="dxa"/>
            <w:vAlign w:val="bottom"/>
          </w:tcPr>
          <w:p>
            <w:pPr>
              <w:jc w:val="center"/>
              <w:ind w:right="14"/>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454"/>
              <w:spacing w:after="0"/>
              <w:rPr>
                <w:sz w:val="20"/>
                <w:szCs w:val="20"/>
                <w:color w:val="auto"/>
              </w:rPr>
            </w:pPr>
            <w:r>
              <w:rPr>
                <w:rFonts w:ascii="Arial" w:cs="Arial" w:eastAsia="Arial" w:hAnsi="Arial"/>
                <w:sz w:val="18"/>
                <w:szCs w:val="18"/>
                <w:color w:val="auto"/>
                <w:w w:val="89"/>
              </w:rPr>
              <w:t>December 9,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8"/>
              </w:rPr>
              <w:t>Karah Parschauer</w:t>
            </w:r>
          </w:p>
        </w:tc>
        <w:tc>
          <w:tcPr>
            <w:tcW w:w="47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Kummerfeld</w:t>
            </w:r>
          </w:p>
        </w:tc>
        <w:tc>
          <w:tcPr>
            <w:tcW w:w="4700" w:type="dxa"/>
            <w:vAlign w:val="bottom"/>
          </w:tcPr>
          <w:p>
            <w:pPr>
              <w:jc w:val="center"/>
              <w:spacing w:after="0"/>
              <w:rPr>
                <w:sz w:val="20"/>
                <w:szCs w:val="20"/>
                <w:color w:val="auto"/>
              </w:rPr>
            </w:pPr>
            <w:r>
              <w:rPr>
                <w:rFonts w:ascii="Arial" w:cs="Arial" w:eastAsia="Arial" w:hAnsi="Arial"/>
                <w:sz w:val="18"/>
                <w:szCs w:val="18"/>
                <w:color w:val="auto"/>
                <w:w w:val="90"/>
              </w:rPr>
              <w:t>Vice President of Finance and Corporate Controller</w:t>
            </w:r>
          </w:p>
        </w:tc>
        <w:tc>
          <w:tcPr>
            <w:tcW w:w="1940" w:type="dxa"/>
            <w:vAlign w:val="bottom"/>
          </w:tcPr>
          <w:p>
            <w:pPr>
              <w:jc w:val="center"/>
              <w:ind w:left="454"/>
              <w:spacing w:after="0"/>
              <w:rPr>
                <w:sz w:val="20"/>
                <w:szCs w:val="20"/>
                <w:color w:val="auto"/>
              </w:rPr>
            </w:pPr>
            <w:r>
              <w:rPr>
                <w:rFonts w:ascii="Arial" w:cs="Arial" w:eastAsia="Arial" w:hAnsi="Arial"/>
                <w:sz w:val="18"/>
                <w:szCs w:val="18"/>
                <w:color w:val="auto"/>
                <w:w w:val="88"/>
              </w:rPr>
              <w:t>December 11,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5"/>
              </w:rPr>
              <w:t>Keith C. Kummerfeld</w:t>
            </w:r>
          </w:p>
        </w:tc>
        <w:tc>
          <w:tcPr>
            <w:tcW w:w="47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1940" w:type="dxa"/>
            <w:vAlign w:val="bottom"/>
          </w:tcPr>
          <w:p>
            <w:pPr>
              <w:spacing w:after="0"/>
              <w:rPr>
                <w:sz w:val="19"/>
                <w:szCs w:val="19"/>
                <w:color w:val="auto"/>
              </w:rPr>
            </w:pPr>
          </w:p>
        </w:tc>
      </w:tr>
    </w:tbl>
    <w:p>
      <w:pPr>
        <w:sectPr>
          <w:pgSz w:w="11900" w:h="16838" w:orient="portrait"/>
          <w:cols w:equalWidth="0" w:num="1">
            <w:col w:w="10720"/>
          </w:cols>
          <w:pgMar w:left="240" w:top="459" w:right="9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34620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1346200" cy="28321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Salans FMC SNR Denton McKenna Long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acted as counsel to Arcturus Therapeutics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a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being filed by the Company with the Securities and Exchange Commission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for the registration of the re-sales of 2,400,000 shares of the Company’s common stock, $0.001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such Shares to be offered and sold from time to time by the selling stockholder listed in the Registration Statement under the heading “Selling Stockholder.”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delivered to you pursuant to Item 601(b)(5) of Regulation S-K under the Act at the request of the Company.</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connection with rendering this opinion, we have examined originals, certified copies or copies otherwise identified as being true copies of the following: (i) the Company’s Certificate of Incorporation, (ii) the Company’s By-Laws, (iii) the Registration Statement, (iv) corporate proceedings of the Company relating to the Shares, and (v) such other instruments and documents as we have deemed necessary under the circumstances.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assumed the genuineness and authenticity of all documents examined by us and all signatures thereon, and the conformity to originals of all copies of documents examined by us.</w:t>
      </w:r>
    </w:p>
    <w:p>
      <w:pPr>
        <w:spacing w:after="0" w:line="170"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Based upon the foregoing, and in reliance thereon, and subject to the qualifications, limitations and exceptions stated herein, we are of the opinion having due regard for such legal considerations as we deemed relevant, that the Shares have been validly issued, fully paid and are nonassessable.</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18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Our opinions are subject to limitations imposed by general principles of equity or public policy upon the enforceability of any of the remedies or covenants,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ectPr>
          <w:pgSz w:w="11900" w:h="16838" w:orient="portrait"/>
          <w:cols w:equalWidth="0" w:num="1">
            <w:col w:w="11020"/>
          </w:cols>
          <w:pgMar w:left="440" w:top="121" w:right="439" w:bottom="1440" w:gutter="0" w:footer="0" w:header="0"/>
        </w:sectPr>
      </w:pPr>
    </w:p>
    <w:bookmarkStart w:id="22" w:name="page23"/>
    <w:bookmarkEnd w:id="22"/>
    <w:p>
      <w:pPr>
        <w:ind w:left="2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235075" cy="334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1235075" cy="334645"/>
                    </a:xfrm>
                    <a:prstGeom prst="rect">
                      <a:avLst/>
                    </a:prstGeom>
                    <a:noFill/>
                  </pic:spPr>
                </pic:pic>
              </a:graphicData>
            </a:graphic>
          </wp:anchor>
        </w:drawing>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December 12, 2019</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Page 2</w:t>
      </w:r>
    </w:p>
    <w:p>
      <w:pPr>
        <w:spacing w:after="0" w:line="2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express no opinion as to the laws of any jurisdiction other than Delaware general corporation law and the federal laws of the United States of America.</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Dentons US LLP</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1000"/>
          </w:cols>
          <w:pgMar w:left="440" w:top="274"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Arcturus Therapeutics Holdings Inc. for the registration of 2,400,000 shares of its common stock and to the incorporation by reference therein of our report dated March 15, 2019, with respect to the consolidated financial statements of Arcturus Therapeutics Ltd. and its subsidiaries included in its Annual Report (Form 10-K) for the year ended December 31, 2018, filed with the Securities and Exchange Commission.</w:t>
      </w:r>
    </w:p>
    <w:p>
      <w:pPr>
        <w:spacing w:after="0" w:line="17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ectPr>
          <w:pgSz w:w="11900" w:h="16838" w:orient="portrait"/>
          <w:cols w:equalWidth="0" w:num="1">
            <w:col w:w="11020"/>
          </w:cols>
          <w:pgMar w:left="440" w:top="125"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Arcturus Therapeutics Holdings Inc. for the registration of 2,400,000 shares of its common stock and to the incorporation by reference therein of our reports dated May 14, 2018, with respect to the consolidated financial statements of Arcturus Therapeutics Ltd. and its subsidiaries included in its Annual Report (Form 10-K) for the year ended December 31, 2018, filed with the Securities and Exchange Commission.</w:t>
      </w:r>
    </w:p>
    <w:p>
      <w:pPr>
        <w:sectPr>
          <w:pgSz w:w="11900" w:h="16838" w:orient="portrait"/>
          <w:cols w:equalWidth="0" w:num="1">
            <w:col w:w="11020"/>
          </w:cols>
          <w:pgMar w:left="440" w:top="121" w:right="4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12, 2019</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060" w:space="720"/>
        <w:col w:w="424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858"/>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2"/>
    </w:lvl>
  </w:abstractNum>
  <w:abstractNum w:abstractNumId="14">
    <w:nsid w:val="4E6AFB66"/>
    <w:multiLevelType w:val="hybridMultilevel"/>
    <w:lvl w:ilvl="0">
      <w:lvlJc w:val="left"/>
      <w:lvlText w:val="(%1)"/>
      <w:numFmt w:val="lowerRoman"/>
      <w:start w:val="3"/>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jpeg"/><Relationship Id="rId65" Type="http://schemas.openxmlformats.org/officeDocument/2006/relationships/image" Target="media/image39.png"/><Relationship Id="rId66" Type="http://schemas.openxmlformats.org/officeDocument/2006/relationships/image" Target="media/image40.jpeg"/><Relationship Id="rId38" Type="http://schemas.openxmlformats.org/officeDocument/2006/relationships/hyperlink" Target="http://www.sec.gov/Archives/edgar/data/1566049/000156459019008092/arct-10k_20181231.htm" TargetMode="External"/><Relationship Id="rId39" Type="http://schemas.openxmlformats.org/officeDocument/2006/relationships/hyperlink" Target="http://www.sec.gov/Archives/edgar/data/1566049/000156459019011220/arct-10ka_20181231.htm" TargetMode="External"/><Relationship Id="rId41" Type="http://schemas.openxmlformats.org/officeDocument/2006/relationships/hyperlink" Target="http://www.sec.gov/Archives/edgar/data/1566049/000156459019018656/arct-10q_20190331.htm" TargetMode="External"/><Relationship Id="rId42" Type="http://schemas.openxmlformats.org/officeDocument/2006/relationships/hyperlink" Target="http://www.sec.gov/Archives/edgar/data/1768224/000156459019032166/arct-10q_20190630.htm" TargetMode="External"/><Relationship Id="rId43" Type="http://schemas.openxmlformats.org/officeDocument/2006/relationships/hyperlink" Target="http://www.sec.gov/Archives/edgar/data/1768224/000156459019042017/arct-10q_20190930.htm" TargetMode="External"/><Relationship Id="rId44" Type="http://schemas.openxmlformats.org/officeDocument/2006/relationships/hyperlink" Target="http://www.sec.gov/Archives/edgar/data/1566049/000119380519000154/e618214_8k-at.htm" TargetMode="External"/><Relationship Id="rId45" Type="http://schemas.openxmlformats.org/officeDocument/2006/relationships/hyperlink" Target="http://www.sec.gov/Archives/edgar/data/1566049/000156459019019850/arct-8k_20190520.htm" TargetMode="External"/><Relationship Id="rId46" Type="http://schemas.openxmlformats.org/officeDocument/2006/relationships/hyperlink" Target="http://www.sec.gov/Archives/edgar/data/1768224/000119312519173808/d826633d8k12b.htm" TargetMode="External"/><Relationship Id="rId47" Type="http://schemas.openxmlformats.org/officeDocument/2006/relationships/hyperlink" Target="http://www.sec.gov/Archives/edgar/data/1566049/000119312519176908/d721252d8k.htm" TargetMode="External"/><Relationship Id="rId48" Type="http://schemas.openxmlformats.org/officeDocument/2006/relationships/hyperlink" Target="http://www.sec.gov/Archives/edgar/data/1768224/000119312519205403/d753524d8k.htm" TargetMode="External"/><Relationship Id="rId49" Type="http://schemas.openxmlformats.org/officeDocument/2006/relationships/hyperlink" Target="http://www.sec.gov/Archives/edgar/data/1768224/000119380519000694/e618580_8k-at.htm" TargetMode="External"/><Relationship Id="rId50" Type="http://schemas.openxmlformats.org/officeDocument/2006/relationships/hyperlink" Target="http://www.sec.gov/Archives/edgar/data/1768224/000119312519212082/d776215d8k.htm" TargetMode="External"/><Relationship Id="rId51" Type="http://schemas.openxmlformats.org/officeDocument/2006/relationships/hyperlink" Target="http://www.sec.gov/Archives/edgar/data/1768224/000119312519212594/d717626d8k.htm" TargetMode="External"/><Relationship Id="rId52" Type="http://schemas.openxmlformats.org/officeDocument/2006/relationships/hyperlink" Target="http://www.sec.gov/Archives/edgar/data/1768224/000119312519245891/d736035d8k.htm" TargetMode="External"/><Relationship Id="rId53" Type="http://schemas.openxmlformats.org/officeDocument/2006/relationships/hyperlink" Target="http://www.sec.gov/Archives/edgar/data/1768224/000119312519252227/d808435d8k.htm" TargetMode="External"/><Relationship Id="rId54" Type="http://schemas.openxmlformats.org/officeDocument/2006/relationships/hyperlink" Target="http://www.sec.gov/Archives/edgar/data/1768224/000119312519257389/d807556d8k.htm" TargetMode="External"/><Relationship Id="rId55" Type="http://schemas.openxmlformats.org/officeDocument/2006/relationships/hyperlink" Target="http://www.sec.gov/Archives/edgar/data/1768224/000119312519280541/d825366d8k.htm" TargetMode="External"/><Relationship Id="rId56" Type="http://schemas.openxmlformats.org/officeDocument/2006/relationships/hyperlink" Target="http://www.sec.gov/Archives/edgar/data/1566049/000114420413030169/v345563_8a12b.htm" TargetMode="External"/><Relationship Id="rId61" Type="http://schemas.openxmlformats.org/officeDocument/2006/relationships/hyperlink" Target="http://www.sec.gov/Archives/edgar/data/1566049/000119312519176908/d7212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2019-12-12T15:58:35Z</dcterms:created>
  <dcterms:modified xsi:type="dcterms:W3CDTF">2019-12-12T15:58:35Z</dcterms:modified>
</cp:coreProperties>
</file>