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11,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5"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001-38942</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64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32-0595345</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680" w:space="720"/>
            <w:col w:w="2680" w:space="720"/>
            <w:col w:w="2440"/>
          </w:cols>
          <w:pgMar w:left="320" w:top="472" w:right="339" w:bottom="1440" w:gutter="0" w:footer="0" w:header="0"/>
          <w:type w:val="continuous"/>
        </w:sectPr>
      </w:pPr>
    </w:p>
    <w:p>
      <w:pPr>
        <w:spacing w:after="0" w:line="7" w:lineRule="exact"/>
        <w:rPr>
          <w:sz w:val="24"/>
          <w:szCs w:val="24"/>
          <w:color w:val="auto"/>
        </w:rPr>
      </w:pPr>
    </w:p>
    <w:p>
      <w:pPr>
        <w:ind w:left="4160"/>
        <w:spacing w:after="0"/>
        <w:rPr>
          <w:sz w:val="20"/>
          <w:szCs w:val="20"/>
          <w:color w:val="auto"/>
        </w:rPr>
      </w:pPr>
      <w:r>
        <w:rPr>
          <w:rFonts w:ascii="Arial" w:cs="Arial" w:eastAsia="Arial" w:hAnsi="Arial"/>
          <w:sz w:val="16"/>
          <w:szCs w:val="16"/>
          <w:b w:val="1"/>
          <w:bCs w:val="1"/>
          <w:color w:val="auto"/>
        </w:rPr>
        <w:t>10628 Science Center Drive, Suite 250</w:t>
      </w:r>
    </w:p>
    <w:p>
      <w:pPr>
        <w:spacing w:after="0" w:line="50"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472"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0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Financial Conditions.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On March 11, 2020, Arcturus Therapeutics Holdings Inc. (the “Company” or “Arcturus”) issued a press release, a copy of which is furnished herewith as Exhibit 99.1, announcing the Company’s financial results for the quarter and year ended December 31, 2019 and providing a corporate update (the “Press Release”).</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Certain statements in this communication and the Press Release are forward-looking statements” that involve substantial risks and uncertainties for purposes of the safe harbor provided by the Private Securities Litigation Reform Act of 1995.</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Press Release contains forward-looking statements that involve substantial risks and uncertainties for purposes of the safe harbor provided by the Private Securities Litigation Reform Act of 1995. Any statements, other than statements of historical fact included in the Press Release, including those regarding strategy, future operations, collaborations, the likelihood of success of the Company’s Coronavirus (COVID-19) vaccine or other products, the IND application, the status of preclinical and clinical development programs, the planned initiation of clinical trials and our current cash position and expected cash burn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We intend to file the December 31, 2019 Annual Report on Form 10-K on Friday March 13, 2020.</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statements made in this Current Report on Form 8-K and the Press Release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516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391"/>
        </w:trPr>
        <w:tc>
          <w:tcPr>
            <w:tcW w:w="1240" w:type="dxa"/>
            <w:vAlign w:val="bottom"/>
          </w:tcPr>
          <w:p>
            <w:pPr>
              <w:spacing w:after="0"/>
              <w:rPr>
                <w:sz w:val="20"/>
                <w:szCs w:val="20"/>
                <w:color w:val="auto"/>
              </w:rPr>
            </w:pPr>
            <w:r>
              <w:rPr>
                <w:rFonts w:ascii="Arial" w:cs="Arial" w:eastAsia="Arial" w:hAnsi="Arial"/>
                <w:sz w:val="18"/>
                <w:szCs w:val="18"/>
                <w:color w:val="auto"/>
              </w:rPr>
              <w:t>99.1</w:t>
            </w:r>
          </w:p>
        </w:tc>
        <w:tc>
          <w:tcPr>
            <w:tcW w:w="10000" w:type="dxa"/>
            <w:vAlign w:val="bottom"/>
            <w:gridSpan w:val="2"/>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Arcturus Therapeutics Holdings dated March 11, 2020</w:t>
              </w:r>
            </w:hyperlink>
          </w:p>
        </w:tc>
      </w:tr>
      <w:tr>
        <w:trPr>
          <w:trHeight w:val="595"/>
        </w:trPr>
        <w:tc>
          <w:tcPr>
            <w:tcW w:w="1240" w:type="dxa"/>
            <w:vAlign w:val="bottom"/>
            <w:tcBorders>
              <w:bottom w:val="single" w:sz="8" w:color="auto"/>
            </w:tcBorders>
          </w:tcPr>
          <w:p>
            <w:pPr>
              <w:spacing w:after="0"/>
              <w:rPr>
                <w:sz w:val="24"/>
                <w:szCs w:val="24"/>
                <w:color w:val="auto"/>
              </w:rPr>
            </w:pPr>
          </w:p>
        </w:tc>
        <w:tc>
          <w:tcPr>
            <w:tcW w:w="5160" w:type="dxa"/>
            <w:vAlign w:val="bottom"/>
            <w:tcBorders>
              <w:top w:val="single" w:sz="8" w:color="0000EE"/>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2020</w:t>
      </w:r>
    </w:p>
    <w:p>
      <w:pPr>
        <w:spacing w:after="0" w:line="211"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Reports Fourth Quarter and Year End 2019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 Filed for Flagship Program ARCT-810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Coronavirus Vaccine Program Initiated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Conference Call at 4:30 pm ET Today</w:t>
      </w:r>
    </w:p>
    <w:p>
      <w:pPr>
        <w:spacing w:after="0" w:line="207"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San Diego, Calif, March 11, 2020 </w:t>
      </w:r>
      <w:r>
        <w:rPr>
          <w:rFonts w:ascii="Arial" w:cs="Arial" w:eastAsia="Arial" w:hAnsi="Arial"/>
          <w:sz w:val="18"/>
          <w:szCs w:val="18"/>
          <w:color w:val="auto"/>
        </w:rPr>
        <w:t>– Arcturus Therapeutics (the “Company”, NASDAQ: ARCT), a leading messenger RNA medicines company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discovery, development and commercialization of therapeutics for rare diseases and vaccines, today reported its financial results for the quarter and year ended December 31, 2019, and provided a corporate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IND for ARCT-810 with the U.S. Food and Drug Administration (FDA)</w:t>
      </w:r>
    </w:p>
    <w:p>
      <w:pPr>
        <w:spacing w:after="0" w:line="23" w:lineRule="exact"/>
        <w:rPr>
          <w:rFonts w:ascii="Arial" w:cs="Arial" w:eastAsia="Arial" w:hAnsi="Arial"/>
          <w:sz w:val="18"/>
          <w:szCs w:val="18"/>
          <w:color w:val="auto"/>
        </w:rPr>
      </w:pPr>
    </w:p>
    <w:p>
      <w:pPr>
        <w:ind w:left="340" w:right="120" w:hanging="332"/>
        <w:spacing w:after="0" w:line="26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fully funded collaboration to develop a vaccine for coronavirus (COVID-19) using Arcturus’ proprietary STARR (Self-Transcribing And Replicating RNA) Technology™</w:t>
      </w:r>
    </w:p>
    <w:p>
      <w:pPr>
        <w:spacing w:after="0" w:line="18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2019, we made progress across all aspects of our business, and continued to establish Arcturus as one of the leaders in the development of mRNA medicines,” said Joseph E. Payne, President &amp; CEO of Arcturus Therapeutics. “Today, we achieved one of our primary goals for 2020, by filing the Investigational New Drug (IND) application for ARCT-810, a potential treatment for ornithine transcarbamylase (OTC) deficiency.”</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Payne added, “The World Health Organization hailed Singapore as an exemplar for other countries in dealing with the coronavirus, as such, the Arcturus team is honored to work with Duke-NUS as we develop a COVID-19 vaccine. The coronavirus vaccine is based on Arcturus’ STARR Technology™, and if successful, could be used to vaccinate millions of people.”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and Year ended December 31, 2019</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Revenues in conjunction with strategic alliances and collaborations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Arcturus’s primary source of revenues is currently from license fees and collaborative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received from research and development arrangements with pharmaceutical and biotechnology partners. For the fourth quarter of 2019, the Company reported revenue of $3.0 million, compared with $7.6 million during fourth quarter of 2018. For the year ended December 31, 2019, Arcturus reported revenue of $20.8 million, compared with revenue of $15.8 million during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Operating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Total operating expenses for the fourth quarter of 2019 were $13.8 million compared with $8.3 million for the same period of 2018.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expenses for the year ended December 31, 2019 were $46.3 million compared with $37.6 million for year ended December 31, 2018.</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u w:val="single" w:color="auto"/>
          <w:color w:val="auto"/>
        </w:rPr>
        <w:t>Net Loss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fourth quarter ended December 31, 2019, Arcturus reported a net loss of approximately $11.0 million, or ($0.76) per basic and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compared with a net loss for the fourth quarter of 2018 of $1.0 million, or ($0.10) per basic and diluted share. For the year ended December 31, 2019, net loss was approximately $26.0 million, or ($2.15) per basic and diluted share, compared with a net loss for the year ended 2018 of $21.8 million, or ($2.16) per basic and diluted share.</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u w:val="single" w:color="auto"/>
          <w:color w:val="auto"/>
        </w:rPr>
        <w:t>Cash, cash equivalents, and investments</w:t>
      </w:r>
      <w:r>
        <w:rPr>
          <w:rFonts w:ascii="Arial" w:cs="Arial" w:eastAsia="Arial" w:hAnsi="Arial"/>
          <w:sz w:val="18"/>
          <w:szCs w:val="18"/>
          <w:color w:val="auto"/>
        </w:rPr>
        <w:t>: totaled $71.4 million as of December 31, 2019, compared to cash and cash equivalents of $36.7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Based on current projections, the Company’s current cash position is expected to be sufficient to support operations through the first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02" w:lineRule="auto"/>
        <w:rPr>
          <w:sz w:val="20"/>
          <w:szCs w:val="20"/>
          <w:color w:val="auto"/>
        </w:rPr>
      </w:pPr>
      <w:r>
        <w:rPr>
          <w:rFonts w:ascii="Arial" w:cs="Arial" w:eastAsia="Arial" w:hAnsi="Arial"/>
          <w:sz w:val="18"/>
          <w:szCs w:val="18"/>
          <w:b w:val="1"/>
          <w:bCs w:val="1"/>
          <w:i w:val="1"/>
          <w:iCs w:val="1"/>
          <w:color w:val="auto"/>
        </w:rPr>
        <w:t>Wednesday March 11</w:t>
      </w:r>
      <w:r>
        <w:rPr>
          <w:rFonts w:ascii="Arial" w:cs="Arial" w:eastAsia="Arial" w:hAnsi="Arial"/>
          <w:sz w:val="29"/>
          <w:szCs w:val="29"/>
          <w:b w:val="1"/>
          <w:bCs w:val="1"/>
          <w:i w:val="1"/>
          <w:iCs w:val="1"/>
          <w:color w:val="auto"/>
          <w:vertAlign w:val="superscript"/>
        </w:rPr>
        <w:t>th</w:t>
      </w:r>
      <w:r>
        <w:rPr>
          <w:rFonts w:ascii="Arial" w:cs="Arial" w:eastAsia="Arial" w:hAnsi="Arial"/>
          <w:sz w:val="18"/>
          <w:szCs w:val="18"/>
          <w:b w:val="1"/>
          <w:bCs w:val="1"/>
          <w:i w:val="1"/>
          <w:iCs w:val="1"/>
          <w:color w:val="auto"/>
        </w:rPr>
        <w:t xml:space="preserve"> @4:30 pm ET</w:t>
      </w:r>
    </w:p>
    <w:p>
      <w:pPr>
        <w:spacing w:after="0" w:line="1"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877-407-0784</w:t>
      </w:r>
    </w:p>
    <w:p>
      <w:pPr>
        <w:spacing w:after="0" w:line="7"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201-689-8560</w:t>
      </w:r>
    </w:p>
    <w:p>
      <w:pPr>
        <w:spacing w:after="0" w:line="9"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Conference ID:</w:t>
      </w:r>
      <w:r>
        <w:rPr>
          <w:sz w:val="20"/>
          <w:szCs w:val="20"/>
          <w:color w:val="auto"/>
        </w:rPr>
        <w:tab/>
      </w:r>
      <w:r>
        <w:rPr>
          <w:rFonts w:ascii="Arial" w:cs="Arial" w:eastAsia="Arial" w:hAnsi="Arial"/>
          <w:sz w:val="16"/>
          <w:szCs w:val="16"/>
          <w:color w:val="auto"/>
        </w:rPr>
        <w:t>13698836</w:t>
      </w:r>
    </w:p>
    <w:p>
      <w:pPr>
        <w:spacing w:after="0" w:line="9"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http://public.viavid.com/index.php?id=137980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Founded in 2013 and based in San Diego, California, Arcturus Therapeutics Holdings Inc. (Nasdaq: ARCT) is an RNA medicines company with enabling technologies – LUNAR® lipid-mediated delivery, Unlocked Nucleomonomer Analog (UNA) chemistry, STARR Technology™ – and mRNA drug substance along with drug product manufacturing. Arcturus’ diverse pipeline of RNA therapeutics includes programs to potentially treat Ornithine Transcarbamylase (OTC) Deficiency, Cystic Fibrosis, Coronavirus (COVID-19), Glycogen Storage Disease Type 3, Hepatitis B,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(182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and the Cystic Fibrosis Foundation. For more information visit www.Arcturusrx.com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strategy, future operations, collaborations, the likelihood of success of the Company’s Coronavirus (COVID-19) vaccine or other products, the IND application, the status of preclinical and clinical development programs, the planned initiation of clinical trials and our current cash position and expected cash burn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We intend to file the December 31, 2019 Annual Report on Form 10-K on Friday March 13, 2020. Except as otherwise required by law, Arcturus disclaims any intention or obligation to update or revise any forward- looking statements, which speak only as of the date they were made, whether as a result of new information, future events or circumstances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ind w:right="91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597-6983 mwood@lifesciadvisors.com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400" w:type="dxa"/>
            <w:vAlign w:val="bottom"/>
            <w:gridSpan w:val="4"/>
          </w:tcPr>
          <w:p>
            <w:pPr>
              <w:jc w:val="center"/>
              <w:ind w:left="177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99"/>
              </w:rPr>
              <w:t>CONSOLIDATED BALANCE SHEETS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jc w:val="center"/>
              <w:ind w:left="3410"/>
              <w:spacing w:after="0"/>
              <w:rPr>
                <w:sz w:val="20"/>
                <w:szCs w:val="20"/>
                <w:color w:val="auto"/>
              </w:rPr>
            </w:pPr>
            <w:r>
              <w:rPr>
                <w:rFonts w:ascii="Arial" w:cs="Arial" w:eastAsia="Arial" w:hAnsi="Arial"/>
                <w:sz w:val="18"/>
                <w:szCs w:val="18"/>
                <w:b w:val="1"/>
                <w:bCs w:val="1"/>
                <w:color w:val="auto"/>
                <w:w w:val="89"/>
              </w:rPr>
              <w:t>(in thousands, except par value information)</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71,353</w:t>
            </w:r>
          </w:p>
        </w:tc>
        <w:tc>
          <w:tcPr>
            <w:tcW w:w="26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36,709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758</w:t>
            </w: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74,290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41,828</w:t>
            </w:r>
          </w:p>
        </w:tc>
        <w:tc>
          <w:tcPr>
            <w:tcW w:w="0" w:type="dxa"/>
            <w:vAlign w:val="bottom"/>
          </w:tcPr>
          <w:p>
            <w:pPr>
              <w:spacing w:after="0"/>
              <w:rPr>
                <w:sz w:val="1"/>
                <w:szCs w:val="1"/>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2,349</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right-of-use asset, net</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5,134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Equity-method investment</w:t>
            </w:r>
          </w:p>
        </w:tc>
        <w:tc>
          <w:tcPr>
            <w:tcW w:w="4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Non-current restricted cash</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82,143</w:t>
            </w:r>
          </w:p>
        </w:tc>
        <w:tc>
          <w:tcPr>
            <w:tcW w:w="26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44,198</w:t>
            </w: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7,134</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8,397</w:t>
            </w:r>
          </w:p>
        </w:tc>
        <w:tc>
          <w:tcPr>
            <w:tcW w:w="26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21,324</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12,577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15,182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14,995</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Deferred rent</w:t>
            </w:r>
          </w:p>
        </w:tc>
        <w:tc>
          <w:tcPr>
            <w:tcW w:w="420" w:type="dxa"/>
            <w:vAlign w:val="bottom"/>
          </w:tcPr>
          <w:p>
            <w:pPr>
              <w:spacing w:after="0"/>
              <w:rPr>
                <w:sz w:val="19"/>
                <w:szCs w:val="19"/>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56,351</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30,556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tcPr>
          <w:p>
            <w:pPr>
              <w:ind w:left="260"/>
              <w:spacing w:after="0" w:line="201" w:lineRule="exact"/>
              <w:rPr>
                <w:sz w:val="20"/>
                <w:szCs w:val="20"/>
                <w:color w:val="auto"/>
              </w:rPr>
            </w:pPr>
            <w:r>
              <w:rPr>
                <w:rFonts w:ascii="Arial" w:cs="Arial" w:eastAsia="Arial" w:hAnsi="Arial"/>
                <w:sz w:val="18"/>
                <w:szCs w:val="18"/>
                <w:color w:val="auto"/>
                <w:w w:val="93"/>
              </w:rPr>
              <w:t>Common stock: $0.001 par value; 30,000 shares authorized; 15,138 issued and outstanding at</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w w:val="98"/>
              </w:rPr>
              <w:t>December 31, 2019; NIS 0.07 par value; 30,000 shares authorized, 10,762 issued, 10,719</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outstanding and 43 held in treasury at December 31, 2018;</w:t>
            </w:r>
          </w:p>
        </w:tc>
        <w:tc>
          <w:tcPr>
            <w:tcW w:w="42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97,445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58,302</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Accumulated deficit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(71,668)</w:t>
            </w: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(44,874)</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25,792</w:t>
            </w: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13,642</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82,143</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44,198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9"/>
          </w:tcPr>
          <w:p>
            <w:pPr>
              <w:jc w:val="center"/>
              <w:ind w:left="253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80" w:type="dxa"/>
            <w:vAlign w:val="bottom"/>
            <w:gridSpan w:val="10"/>
          </w:tcPr>
          <w:p>
            <w:pPr>
              <w:jc w:val="center"/>
              <w:ind w:left="1570"/>
              <w:spacing w:after="0"/>
              <w:rPr>
                <w:sz w:val="20"/>
                <w:szCs w:val="20"/>
                <w:color w:val="auto"/>
              </w:rPr>
            </w:pPr>
            <w:r>
              <w:rPr>
                <w:rFonts w:ascii="Arial" w:cs="Arial" w:eastAsia="Arial" w:hAnsi="Arial"/>
                <w:sz w:val="18"/>
                <w:szCs w:val="18"/>
                <w:b w:val="1"/>
                <w:bCs w:val="1"/>
                <w:color w:val="auto"/>
                <w:w w:val="99"/>
              </w:rPr>
              <w:t>CONSOLIDATED STATEMENTS OF OPERATIONS AND COMPREHENSIVE LOSS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4"/>
                <w:szCs w:val="24"/>
                <w:color w:val="auto"/>
              </w:rPr>
            </w:pPr>
          </w:p>
        </w:tc>
        <w:tc>
          <w:tcPr>
            <w:tcW w:w="4020" w:type="dxa"/>
            <w:vAlign w:val="bottom"/>
            <w:gridSpan w:val="7"/>
          </w:tcPr>
          <w:p>
            <w:pPr>
              <w:jc w:val="center"/>
              <w:ind w:right="1000"/>
              <w:spacing w:after="0"/>
              <w:rPr>
                <w:sz w:val="20"/>
                <w:szCs w:val="20"/>
                <w:color w:val="auto"/>
              </w:rPr>
            </w:pPr>
            <w:r>
              <w:rPr>
                <w:rFonts w:ascii="Arial" w:cs="Arial" w:eastAsia="Arial" w:hAnsi="Arial"/>
                <w:sz w:val="18"/>
                <w:szCs w:val="18"/>
                <w:b w:val="1"/>
                <w:bCs w:val="1"/>
                <w:color w:val="auto"/>
                <w:w w:val="88"/>
              </w:rPr>
              <w:t>(in thousands, except per share data)</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December 31,</w:t>
            </w:r>
          </w:p>
        </w:tc>
        <w:tc>
          <w:tcPr>
            <w:tcW w:w="500" w:type="dxa"/>
            <w:vAlign w:val="bottom"/>
          </w:tcPr>
          <w:p>
            <w:pPr>
              <w:spacing w:after="0"/>
              <w:rPr>
                <w:sz w:val="24"/>
                <w:szCs w:val="24"/>
                <w:color w:val="auto"/>
              </w:rPr>
            </w:pPr>
          </w:p>
        </w:tc>
        <w:tc>
          <w:tcPr>
            <w:tcW w:w="26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7,577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15,753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 net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11,994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4,847</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16,982</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1,791</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3,440</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12,662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20,582</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13,785</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8,287</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46,302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37,564</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(21,811)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 income, net</w:t>
            </w: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(0.76)</w:t>
            </w:r>
          </w:p>
        </w:tc>
        <w:tc>
          <w:tcPr>
            <w:tcW w:w="2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w:t>
            </w:r>
          </w:p>
        </w:tc>
        <w:tc>
          <w:tcPr>
            <w:tcW w:w="2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1"/>
              </w:rPr>
              <w:t>Weighted-average shares outstanding, basic and diluted</w:t>
            </w: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14,505</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10,095</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12,069</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10,069</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5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(21,785)</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w w:val="92"/>
              </w:rPr>
              <w:t>Unrealized gain (loss) on short-term investments</w:t>
            </w: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Comprehensive loss</w:t>
            </w:r>
          </w:p>
        </w:tc>
        <w:tc>
          <w:tcPr>
            <w:tcW w:w="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58"/>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2020-03-11T15:06:48Z</dcterms:created>
  <dcterms:modified xsi:type="dcterms:W3CDTF">2020-03-11T15:06:48Z</dcterms:modified>
</cp:coreProperties>
</file>