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142875</wp:posOffset>
            </wp:positionV>
            <wp:extent cx="36188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158115</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REPORT OF FOREIGN PRIVATE ISSUER PURSUANT TO RULE 13a-16 OR 15d-16 UNDER THE SECURITIES EXCHANGE ACT OF 1934</w:t>
      </w: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 the month of August, 2018</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Commission File No. 001-35932</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ARCTURUS THERAPEUTICS LTD.</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142240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-121920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4"/>
          <w:szCs w:val="24"/>
          <w:color w:val="auto"/>
        </w:rPr>
      </w:pPr>
    </w:p>
    <w:p>
      <w:pPr>
        <w:jc w:val="both"/>
        <w:ind w:right="2240" w:firstLine="2372"/>
        <w:spacing w:after="0" w:line="514" w:lineRule="auto"/>
        <w:rPr>
          <w:sz w:val="20"/>
          <w:szCs w:val="20"/>
          <w:color w:val="auto"/>
        </w:rPr>
      </w:pPr>
      <w:r>
        <w:rPr>
          <w:rFonts w:ascii="Arial" w:cs="Arial" w:eastAsia="Arial" w:hAnsi="Arial"/>
          <w:sz w:val="18"/>
          <w:szCs w:val="18"/>
          <w:color w:val="auto"/>
        </w:rPr>
        <w:t>Form 20-F x Form 40-F o Indicate by check mark if the registrant is submitting the Form 6-K in paper as permitted by Regulation S-T Rule 101(b)(1): o 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Other Events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Arcturus Therapeutics Ltd. (the “Company”) held an annual and extraordinary general meeting of shareholders of the Company on Friday, August 24, 2018 (the “Meeting”). All eight proposals presented to the shareholders for approval at the Meeting were duly approved by the vote of the shareholders of the Company.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shareholders of the Company voted on the proposals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85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Proposals</w:t>
            </w:r>
          </w:p>
        </w:tc>
        <w:tc>
          <w:tcPr>
            <w:tcW w:w="28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 Favor*</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560" w:type="dxa"/>
            <w:vAlign w:val="bottom"/>
            <w:tcBorders>
              <w:left w:val="single" w:sz="8" w:color="auto"/>
              <w:bottom w:val="single" w:sz="8" w:color="auto"/>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5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 xml:space="preserve">Proposal 1: </w:t>
            </w:r>
            <w:r>
              <w:rPr>
                <w:rFonts w:ascii="Arial" w:cs="Arial" w:eastAsia="Arial" w:hAnsi="Arial"/>
                <w:sz w:val="18"/>
                <w:szCs w:val="18"/>
                <w:color w:val="auto"/>
                <w:w w:val="97"/>
              </w:rPr>
              <w:t>Approval of appointment of Ernst &amp; Young LLP as the Company's independent registered public</w:t>
            </w:r>
          </w:p>
        </w:tc>
        <w:tc>
          <w:tcPr>
            <w:tcW w:w="284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8"/>
              </w:rPr>
              <w:t>accounting firm for fiscal year ending 12/31/18 and to authorize the Board to determine its compensation, as</w:t>
            </w:r>
          </w:p>
        </w:tc>
        <w:tc>
          <w:tcPr>
            <w:tcW w:w="28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85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provided in Item 1 of the Proxy Statement</w:t>
            </w:r>
          </w:p>
        </w:tc>
        <w:tc>
          <w:tcPr>
            <w:tcW w:w="2840" w:type="dxa"/>
            <w:vAlign w:val="bottom"/>
            <w:tcBorders>
              <w:bottom w:val="single" w:sz="8" w:color="CCEEFF"/>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5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4"/>
              </w:rPr>
              <w:t xml:space="preserve">Proposal 2: </w:t>
            </w:r>
            <w:r>
              <w:rPr>
                <w:rFonts w:ascii="Arial" w:cs="Arial" w:eastAsia="Arial" w:hAnsi="Arial"/>
                <w:sz w:val="18"/>
                <w:szCs w:val="18"/>
                <w:color w:val="auto"/>
                <w:w w:val="94"/>
              </w:rPr>
              <w:t>Approval of the Company's Amended and Restated Compensation Policy, as provided in Item 2 and</w:t>
            </w:r>
          </w:p>
        </w:tc>
        <w:tc>
          <w:tcPr>
            <w:tcW w:w="28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Appendix A of the Proxy Statement</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560" w:type="dxa"/>
            <w:vAlign w:val="bottom"/>
            <w:tcBorders>
              <w:left w:val="single" w:sz="8" w:color="auto"/>
              <w:bottom w:val="single" w:sz="8" w:color="auto"/>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5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3"/>
              </w:rPr>
              <w:t xml:space="preserve">Proposal 3: </w:t>
            </w:r>
            <w:r>
              <w:rPr>
                <w:rFonts w:ascii="Arial" w:cs="Arial" w:eastAsia="Arial" w:hAnsi="Arial"/>
                <w:sz w:val="18"/>
                <w:szCs w:val="18"/>
                <w:color w:val="auto"/>
                <w:w w:val="93"/>
              </w:rPr>
              <w:t>Approval of the Company's 2018 Omnibus Equity Incentive Plan, as provided in Item 3 and Appendix</w:t>
            </w:r>
          </w:p>
        </w:tc>
        <w:tc>
          <w:tcPr>
            <w:tcW w:w="284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85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 of the Proxy Statement</w:t>
            </w:r>
          </w:p>
        </w:tc>
        <w:tc>
          <w:tcPr>
            <w:tcW w:w="2840" w:type="dxa"/>
            <w:vAlign w:val="bottom"/>
            <w:tcBorders>
              <w:bottom w:val="single" w:sz="8" w:color="CCEEFF"/>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5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6"/>
              </w:rPr>
              <w:t xml:space="preserve">Proposal 4: </w:t>
            </w:r>
            <w:r>
              <w:rPr>
                <w:rFonts w:ascii="Arial" w:cs="Arial" w:eastAsia="Arial" w:hAnsi="Arial"/>
                <w:sz w:val="18"/>
                <w:szCs w:val="18"/>
                <w:color w:val="auto"/>
                <w:w w:val="96"/>
              </w:rPr>
              <w:t>Approval of the re-election of the following individuals as directors of the Company, as provided in</w:t>
            </w:r>
          </w:p>
        </w:tc>
        <w:tc>
          <w:tcPr>
            <w:tcW w:w="284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Item 4 of the Proxy Statement:</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Mr. Joseph Payne</w:t>
            </w:r>
          </w:p>
        </w:tc>
        <w:tc>
          <w:tcPr>
            <w:tcW w:w="2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Dr. Peter Farrell</w:t>
            </w:r>
          </w:p>
        </w:tc>
        <w:tc>
          <w:tcPr>
            <w:tcW w:w="2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Mr. Andy Sassine</w:t>
            </w:r>
          </w:p>
        </w:tc>
        <w:tc>
          <w:tcPr>
            <w:tcW w:w="2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Dr. Magda Marquet</w:t>
            </w:r>
          </w:p>
        </w:tc>
        <w:tc>
          <w:tcPr>
            <w:tcW w:w="2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Mr. James Barlow</w:t>
            </w:r>
          </w:p>
        </w:tc>
        <w:tc>
          <w:tcPr>
            <w:tcW w:w="2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560" w:type="dxa"/>
            <w:vAlign w:val="bottom"/>
            <w:tcBorders>
              <w:left w:val="single" w:sz="8" w:color="auto"/>
              <w:bottom w:val="single" w:sz="8" w:color="auto"/>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5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 xml:space="preserve">Proposal 5: </w:t>
            </w:r>
            <w:r>
              <w:rPr>
                <w:rFonts w:ascii="Arial" w:cs="Arial" w:eastAsia="Arial" w:hAnsi="Arial"/>
                <w:sz w:val="18"/>
                <w:szCs w:val="18"/>
                <w:color w:val="auto"/>
                <w:w w:val="98"/>
              </w:rPr>
              <w:t>Approval of the compensation terms of the following individuals as directors of the Company, as</w:t>
            </w:r>
          </w:p>
        </w:tc>
        <w:tc>
          <w:tcPr>
            <w:tcW w:w="284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provided in Item 5 of the Proxy Statement:</w:t>
            </w:r>
          </w:p>
        </w:tc>
        <w:tc>
          <w:tcPr>
            <w:tcW w:w="284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5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Dr. Peter Farrell</w:t>
            </w:r>
          </w:p>
        </w:tc>
        <w:tc>
          <w:tcPr>
            <w:tcW w:w="284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Dr. Magda Marquet</w:t>
            </w:r>
          </w:p>
        </w:tc>
        <w:tc>
          <w:tcPr>
            <w:tcW w:w="284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85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Mr. James Barlow</w:t>
            </w:r>
          </w:p>
        </w:tc>
        <w:tc>
          <w:tcPr>
            <w:tcW w:w="284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5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9"/>
              </w:rPr>
              <w:t xml:space="preserve">Proposal 6: </w:t>
            </w:r>
            <w:r>
              <w:rPr>
                <w:rFonts w:ascii="Arial" w:cs="Arial" w:eastAsia="Arial" w:hAnsi="Arial"/>
                <w:sz w:val="18"/>
                <w:szCs w:val="18"/>
                <w:color w:val="auto"/>
                <w:w w:val="99"/>
              </w:rPr>
              <w:t>Approval of the compensation terms of Mr. Andy Sassine as a director and interim CFO of the</w:t>
            </w:r>
          </w:p>
        </w:tc>
        <w:tc>
          <w:tcPr>
            <w:tcW w:w="28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Company, as provided in Item 6 of the Proxy Statement</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560" w:type="dxa"/>
            <w:vAlign w:val="bottom"/>
            <w:tcBorders>
              <w:left w:val="single" w:sz="8" w:color="auto"/>
              <w:bottom w:val="single" w:sz="8" w:color="auto"/>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5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3"/>
              </w:rPr>
              <w:t xml:space="preserve">Proposal 7: </w:t>
            </w:r>
            <w:r>
              <w:rPr>
                <w:rFonts w:ascii="Arial" w:cs="Arial" w:eastAsia="Arial" w:hAnsi="Arial"/>
                <w:sz w:val="18"/>
                <w:szCs w:val="18"/>
                <w:color w:val="auto"/>
                <w:w w:val="93"/>
              </w:rPr>
              <w:t>Approval of the compensation terms of Mr. Joseph Payne as a director and President and CEO of the</w:t>
            </w:r>
          </w:p>
        </w:tc>
        <w:tc>
          <w:tcPr>
            <w:tcW w:w="284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85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Company, as provided in Item 7 of the Proxy Statement</w:t>
            </w:r>
          </w:p>
        </w:tc>
        <w:tc>
          <w:tcPr>
            <w:tcW w:w="2840" w:type="dxa"/>
            <w:vAlign w:val="bottom"/>
            <w:tcBorders>
              <w:bottom w:val="single" w:sz="8" w:color="CCEEFF"/>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5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2"/>
              </w:rPr>
              <w:t xml:space="preserve">Proposal 8: </w:t>
            </w:r>
            <w:r>
              <w:rPr>
                <w:rFonts w:ascii="Arial" w:cs="Arial" w:eastAsia="Arial" w:hAnsi="Arial"/>
                <w:sz w:val="18"/>
                <w:szCs w:val="18"/>
                <w:color w:val="auto"/>
                <w:w w:val="92"/>
              </w:rPr>
              <w:t>Approval of the compensation terms of Dr. Padmanabh Chivukula, as Chief Scientific Officer and Chief</w:t>
            </w:r>
          </w:p>
        </w:tc>
        <w:tc>
          <w:tcPr>
            <w:tcW w:w="28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Operating Officer of the Company, as provided in Item 8 of the Proxy Statement</w:t>
            </w: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8560" w:type="dxa"/>
            <w:vAlign w:val="bottom"/>
            <w:tcBorders>
              <w:left w:val="single" w:sz="8" w:color="auto"/>
              <w:bottom w:val="single" w:sz="8" w:color="auto"/>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 Percentage of all ordinary shares voted on the proposal</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of the foregoing proposals is described in detail in the Proxy Statement filed as Exhibit 99.1 to the Company’s report of foreign private issuer on Form 6-K, File No. 001-35932, filed with the U.S. Securities and Exchange Commission on July 27,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 w:name="page3"/>
    <w:bookmarkEnd w:id="2"/>
    <w:p>
      <w:pPr>
        <w:jc w:val="both"/>
        <w:ind w:firstLine="648"/>
        <w:spacing w:after="0" w:line="255" w:lineRule="auto"/>
        <w:rPr>
          <w:sz w:val="20"/>
          <w:szCs w:val="20"/>
          <w:color w:val="auto"/>
        </w:rPr>
      </w:pPr>
      <w:r>
        <w:rPr>
          <w:rFonts w:ascii="Arial" w:cs="Arial" w:eastAsia="Arial" w:hAnsi="Arial"/>
          <w:sz w:val="18"/>
          <w:szCs w:val="18"/>
          <w:color w:val="auto"/>
        </w:rPr>
        <w:t>At the Meeting, shareholders of the Company approved the appointment of Ernst &amp; Young LLP as the Company’s independent registered public accounting firm for the fiscal year ending December 31, 2018, succeeding and thus dismissing Kost, Forer, Gabbay &amp; Kasierer, a member of Ernst &amp; Young Global (“E&amp;Y Israel”). The service of E&amp;Y Israel concluded on August 24, 2018, the date of the Meeting. E&amp;Y Israel served as the independent registered public accounting firm of the Company for the fiscal year ended December 31, 2017 and were the independent registered accounting firm of Arcturus Therapeutics Ltd. (formerly known as Alcobra Ltd.) prior to the merger. Ernst &amp; Young LLP served as the principal accountant of Arcturus Therapeutics, Inc., the accounting acquirer, in the merger between Arcturus Therapeutics, Inc. and Arcturus Therapeutics Ltd. prior to E&amp;Y Israel’s approval as the Company’s principal accountant.</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E&amp;Y Israel did not resign or decline to stand for re-election. Instead, the Company chose to change its auditor from E&amp;Y Israel to Ernst &amp; Young LLP. The decision to make this change was recommended by the Audit Committee of the Board of Directors of the Company and approved by the shareholders of the Company.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report of E&amp;Y Israel on the consolidated financial statements for the Company’s fiscal year ended December 31, 2017, did not contain an adverse opinion or disclaimer of opinion and was not qualified or modified as to uncertainty, audit scope, or accounting principles.</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report of Ernst &amp; Young LLP on the consolidated financial statements for the Company’s fiscal year ended December 31, 2016, did not contain an adverse opinion or disclaimer of opinion and was not qualified or modified as to uncertainty, audit scope, or accounting principles.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fiscal year ended December 31, 2017 and through the interim period preceding the non-continuation of E&amp;Y Israel’s services, there were no disagreements with E&amp;Y Israel on any matter of accounting principles or practices, financial statement disclosure, or auditing scope or procedure, which, if not resolved to the satisfaction of E&amp;Y Israel, would have caused E&amp;Y Israel to make reference to the matter in connection with its report on Arcturus Therapeutics Ltd.’s financial statements.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the fiscal year ended December 31, 2016 and through the interim period preceding the non-continuation of Ernst &amp; Young LLP’s services, there were no disagreements with Ernst &amp; Young LLP on any matter of accounting principles or practices, financial statement disclosure, or auditing scope or procedure, which, if not resolved to the satisfaction of Ernst &amp; Young LLP, would have caused Ernst &amp; Young LLP to make reference to the matter in connection with its report on Arcturus Therapeutics Ltd.’s financial statements. Prior to Ernst &amp; Young LLP’s engagement, we did not consult with Ernst &amp; Young LLP’s regarding matters or events set forth within paragraphs (a)(2)(i) or (a)(2)(ii) of Item 16F of Form 20-F.</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requested that E&amp;Y Israel furnish a letter addressed to the Securities and Exchange Commission stating whether it agrees with the above statements, which is attached hereto as Exhibit 99.1. The press release of the Company announcing the appointment of Ernst &amp; Young LLP is attached hereto as Exhibit 99.2.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Interim CFO</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August 28, 2018, the Company announced that it appointed Andrew Sassine as Interim Chief Financial Officer of the Company, effective August 24, 2018. Mr. Sassine has served on the Company’s Board of Directors since May 2018 and will continue to serve on the Company’s Board of Directors while serving as Interim Chief Financial Officer. The Company has also initiated a search for a permanent Chief Financial Officer. The press release of the Company announcing the appointment of Andrew Sassine as Interim Chief Financial Officer is attached hereto as Exhibit 99.3.</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10580" w:type="dxa"/>
            <w:vAlign w:val="bottom"/>
          </w:tcPr>
          <w:p>
            <w:pPr>
              <w:spacing w:after="0"/>
              <w:rPr>
                <w:sz w:val="20"/>
                <w:szCs w:val="20"/>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10580" w:type="dxa"/>
            <w:vAlign w:val="bottom"/>
          </w:tcPr>
          <w:p>
            <w:pPr>
              <w:ind w:left="200"/>
              <w:spacing w:after="0"/>
              <w:rPr>
                <w:sz w:val="20"/>
                <w:szCs w:val="20"/>
                <w:color w:val="auto"/>
              </w:rPr>
            </w:pPr>
            <w:r>
              <w:rPr>
                <w:rFonts w:ascii="Arial" w:cs="Arial" w:eastAsia="Arial" w:hAnsi="Arial"/>
                <w:sz w:val="18"/>
                <w:szCs w:val="18"/>
                <w:color w:val="auto"/>
              </w:rPr>
              <w:t>Letter dated August 29, 2018 of Kost, Forer, Gabbay &amp; Kasierer to the Securities and Exchange Commission</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99.2</w:t>
            </w:r>
          </w:p>
        </w:tc>
        <w:tc>
          <w:tcPr>
            <w:tcW w:w="10580" w:type="dxa"/>
            <w:vAlign w:val="bottom"/>
          </w:tcPr>
          <w:p>
            <w:pPr>
              <w:ind w:left="200"/>
              <w:spacing w:after="0"/>
              <w:rPr>
                <w:sz w:val="20"/>
                <w:szCs w:val="20"/>
                <w:color w:val="auto"/>
              </w:rPr>
            </w:pPr>
            <w:r>
              <w:rPr>
                <w:rFonts w:ascii="Arial" w:cs="Arial" w:eastAsia="Arial" w:hAnsi="Arial"/>
                <w:sz w:val="18"/>
                <w:szCs w:val="18"/>
                <w:color w:val="auto"/>
                <w:w w:val="93"/>
              </w:rPr>
              <w:t>Press Release dated August 29, 2018 of Arcturus Therapeutics Ltd., announcing the appointment of Ernst &amp; Young LLP as the Company’s</w:t>
            </w:r>
          </w:p>
        </w:tc>
      </w:tr>
      <w:tr>
        <w:trPr>
          <w:trHeight w:val="230"/>
        </w:trPr>
        <w:tc>
          <w:tcPr>
            <w:tcW w:w="840" w:type="dxa"/>
            <w:vAlign w:val="bottom"/>
          </w:tcPr>
          <w:p>
            <w:pPr>
              <w:spacing w:after="0"/>
              <w:rPr>
                <w:sz w:val="20"/>
                <w:szCs w:val="20"/>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independent registered public accounting firm</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99.3</w:t>
            </w:r>
          </w:p>
        </w:tc>
        <w:tc>
          <w:tcPr>
            <w:tcW w:w="10580" w:type="dxa"/>
            <w:vAlign w:val="bottom"/>
          </w:tcPr>
          <w:p>
            <w:pPr>
              <w:ind w:left="200"/>
              <w:spacing w:after="0"/>
              <w:rPr>
                <w:sz w:val="20"/>
                <w:szCs w:val="20"/>
                <w:color w:val="auto"/>
              </w:rPr>
            </w:pPr>
            <w:r>
              <w:rPr>
                <w:rFonts w:ascii="Arial" w:cs="Arial" w:eastAsia="Arial" w:hAnsi="Arial"/>
                <w:sz w:val="18"/>
                <w:szCs w:val="18"/>
                <w:color w:val="auto"/>
                <w:w w:val="90"/>
              </w:rPr>
              <w:t>Press Release dated August 28, 2018 of Arcturus Therapeutics Ltd., announcing the appointment of Andrew Sassine as Interim Chief Financial</w:t>
            </w:r>
          </w:p>
        </w:tc>
      </w:tr>
      <w:tr>
        <w:trPr>
          <w:trHeight w:val="230"/>
        </w:trPr>
        <w:tc>
          <w:tcPr>
            <w:tcW w:w="840" w:type="dxa"/>
            <w:vAlign w:val="bottom"/>
          </w:tcPr>
          <w:p>
            <w:pPr>
              <w:spacing w:after="0"/>
              <w:rPr>
                <w:sz w:val="20"/>
                <w:szCs w:val="20"/>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Officer</w:t>
            </w:r>
          </w:p>
        </w:tc>
      </w:tr>
      <w:tr>
        <w:trPr>
          <w:trHeight w:val="547"/>
        </w:trPr>
        <w:tc>
          <w:tcPr>
            <w:tcW w:w="84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tcPr>
          <w:p>
            <w:pPr>
              <w:ind w:left="482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70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ARCTURUS THERAPEUTICS LTD.</w:t>
      </w:r>
    </w:p>
    <w:p>
      <w:pPr>
        <w:spacing w:after="0" w:line="200" w:lineRule="exact"/>
        <w:rPr>
          <w:sz w:val="20"/>
          <w:szCs w:val="20"/>
          <w:color w:val="auto"/>
        </w:rPr>
      </w:pPr>
    </w:p>
    <w:p>
      <w:pPr>
        <w:spacing w:after="0" w:line="24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  /s/ Joseph E. Payne</w:t>
      </w:r>
    </w:p>
    <w:p>
      <w:pPr>
        <w:spacing w:after="0" w:line="23" w:lineRule="exact"/>
        <w:rPr>
          <w:sz w:val="20"/>
          <w:szCs w:val="20"/>
          <w:color w:val="auto"/>
        </w:rPr>
      </w:pPr>
    </w:p>
    <w:p>
      <w:pPr>
        <w:ind w:left="6860"/>
        <w:spacing w:after="0"/>
        <w:tabs>
          <w:tab w:leader="none" w:pos="75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8898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50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29, 2018</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August 29,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read Form 6-K dated August 29, 2018, of Arcturus Therapeutics Ltd. and are in agreement with such statements concerning our firm. We have no basis to agree or disagree with other statements of the registrant contained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Kost Forer Gabbay &amp; Kasierer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Kost Forer Gabbay &amp; Kasierer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member of Ernst &amp; Young Global</w:t>
      </w:r>
    </w:p>
    <w:p>
      <w:pPr>
        <w:sectPr>
          <w:pgSz w:w="11900" w:h="16838" w:orient="portrait"/>
          <w:cols w:equalWidth="0" w:num="1">
            <w:col w:w="11420"/>
          </w:cols>
          <w:pgMar w:left="240" w:top="368" w:right="2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Arcturus Therapeutics Announces Appointment of Ernst &amp; Young LLP as the Company’s Independent Auditor</w:t>
      </w:r>
    </w:p>
    <w:p>
      <w:pPr>
        <w:spacing w:after="0" w:line="225"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b w:val="1"/>
          <w:bCs w:val="1"/>
          <w:color w:val="auto"/>
        </w:rPr>
        <w:t xml:space="preserve">San Diego, California, August 29, 2018 </w:t>
      </w:r>
      <w:r>
        <w:rPr>
          <w:rFonts w:ascii="Arial" w:cs="Arial" w:eastAsia="Arial" w:hAnsi="Arial"/>
          <w:sz w:val="16"/>
          <w:szCs w:val="16"/>
          <w:color w:val="auto"/>
        </w:rPr>
        <w:t>– Arcturus Therapeutics Ltd. (“Arcturus” or the “Company”) (NASDAQ: ARCT), a leading RNA medicines</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today announced that at the Company’s Annual General Meeting of Shareholders on August 24, 2018, shareholders of the Company approved the appointment of Ernst &amp; Young LLP as the Company’s independent registered public accounting firm for the fiscal year ending December 31, 2018, succeeding and thus dismissing Kost, Forer, Gabbay and Kasierer, a member of Ernst &amp; Young Global (“E&amp;Y Israel”) located in Israel.</w:t>
      </w:r>
    </w:p>
    <w:p>
      <w:pPr>
        <w:spacing w:after="0" w:line="15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service of the Company’s previous independent auditor, E&amp;Y Israel, concluded on August 24, 2018. The auditor did not resign or decline to stand for re-election. Instead, the Company chose to change its auditor from E&amp;Y Israel to Ernst &amp; Young LLP. The decision to make this change was recommended by the Audit Committee of the Board of Directors of the Company and approved by the shareholders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Arcturus Therapeutics</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Founded in 2013 and based in San Diego, California, Arcturus Therapeutics Ltd. (NASDAQ: ARCT) is an RNA medicines company with enabling technologies – UNA Oligomer chemistry and LUNAR® lipid-mediated delivery. Arcturus’ diverse pipeline of RNA therapeutics includes programs pursuing rare diseases, Hepatitis B, non-alcoholic steatohepatitis (NASH), cystic fibrosis, and vaccines. Arcturus’ versatile RNA therapeutics platforms can be applied toward multiple types of RNA medicines including small interfering RNA, messenger RNA, replicon RNA, antisense RNA, microRNA and gene editing therapeutics. Arcturus owns LUNAR lipid-mediated delivery and Unlocked Nucleomonomer Agent (UNA) technology including UNA Oligomers, which are covered by its extensive patent portfolio (140 patents and patent applications, issued in the U.S., Europe, Japan, China and other countries). Arcturus’ proprietary UNA technology can be used to target individual genes in the human genome, as well as viral genes, and other species for therapeutic purposes. Arcturus’ commitment to the development of novel RNA therapeutics has led to partnerships with Janssen Pharmaceuticals, Inc., part of the Janssen Pharmaceutical Companies of Johnson &amp; Johnson, Ultragenyx Pharmaceutical, Inc., Takeda Pharmaceutical Company Limited, Synthetic Genomics Inc., CureVac AG and Cystic Fibrosis Foundation Therapeutics Inc. For more information, visit www.Arcturusrx.com, the content of which is not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regarding strategy, future operations, collaborations, future financial position, prospects, plans and objectives of management are forward-looking statements. Arcturus may not actually achieve the plans, carry out the intentions or meet the expectations or projections disclosed in any forward-looking statements and you should not place undue reliance on those forward-looking statements. Any such statements are based on management’s current expectations and involve risks and uncertainties. Actual results and performance could differ materially from those projected in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7" w:name="page8"/>
    <w:bookmarkEnd w:id="7"/>
    <w:p>
      <w:pPr>
        <w:spacing w:after="0" w:line="257" w:lineRule="auto"/>
        <w:rPr>
          <w:sz w:val="20"/>
          <w:szCs w:val="20"/>
          <w:color w:val="auto"/>
        </w:rPr>
      </w:pPr>
      <w:r>
        <w:rPr>
          <w:rFonts w:ascii="Arial" w:cs="Arial" w:eastAsia="Arial" w:hAnsi="Arial"/>
          <w:sz w:val="18"/>
          <w:szCs w:val="18"/>
          <w:color w:val="auto"/>
        </w:rPr>
        <w:t>The forward-looking statements contained or implied in this press release are subject to other risks and uncertainties, including those discussed under the heading “Risk Factors” in Arcturus’ Annual Report on Form 20-F for the fiscal year ended December 31, 2017, filed with the SEC on May 14, 2018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Neda Safarzadeh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Ltd.</w:t>
      </w:r>
    </w:p>
    <w:p>
      <w:pPr>
        <w:spacing w:after="0" w:line="9" w:lineRule="exact"/>
        <w:rPr>
          <w:sz w:val="20"/>
          <w:szCs w:val="20"/>
          <w:color w:val="auto"/>
        </w:rPr>
      </w:pPr>
    </w:p>
    <w:p>
      <w:pPr>
        <w:ind w:left="440" w:hanging="432"/>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900-2682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IR@ArcturusRx.com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Arcturus Investor 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Wood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ind w:right="910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597-6983 mwood@lifesciadvisors.com</w:t>
      </w:r>
    </w:p>
    <w:p>
      <w:pPr>
        <w:sectPr>
          <w:pgSz w:w="11900" w:h="16838" w:orient="portrait"/>
          <w:cols w:equalWidth="0" w:num="1">
            <w:col w:w="11200"/>
          </w:cols>
          <w:pgMar w:left="240" w:top="706" w:right="4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Arcturus Therapeutics Appoints Andrew Sassine as Interim Chief Financial Officer</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San Diego, Calif., Aug. 28, 2018 </w:t>
      </w:r>
      <w:r>
        <w:rPr>
          <w:rFonts w:ascii="Arial" w:cs="Arial" w:eastAsia="Arial" w:hAnsi="Arial"/>
          <w:sz w:val="17"/>
          <w:szCs w:val="17"/>
          <w:color w:val="auto"/>
        </w:rPr>
        <w:t>– Arcturus Therapeutics Ltd. (NASDAQ: ARCT), a leading RNA medicines company, today announced that it has</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Andrew Sassine as Interim Chief Financial Officer (CFO), effective August 24, 2018. Mr. Sassine has served on Arcturus’ Board of Directors since May 2018 and will continue to serve on Arcturus’ Board of Directors. The Company has initiated a search for a permanent CFO.</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 short period of time since joining our Board in May, Andy has made significant contributions toward the financial stewardship of Arcturus – I am very pleased to have him join our leadership team in this interim, but important role,” said Joseph Payne, President &amp; CEO of Arcturus Therapeutics. “Andy’s extensive experience providing guidance and strategic counsel to life sciences management teams and boards, coupled with his successful track record as a highly regarded fund manager and analyst, will serve us well as we seek to efficiently advance our portfolio of RNA therapeutics, while prudently managing our financial resources. I look forward to working with Andy as we continue the search for the ideal permanent CFO.”</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am delighted to work with Joseph Payne and the Arcturus team during this critical transitional period,” said Mr. Sassine. “I strongly believe in Arcturus’ lipid-mediated drug delivery technology potential, and am eager to help set the Company on a course to achieve long-term success, to the benefit of patients and shareholders alike.”</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serving on the Arcturus board, Mr. Sassine serves on the boards of iCAD, Inc. (NASDAQ: ICAD), a provider of advanced image analysis, workflow solutions and radiation therapy for the early detection and treatment of cancer, and Gemphire Therapeutics (NASDAQ: GEMP), a clinical-stage biopharma company focused on therapies for the treatment of dyslipidemia. He also serves as Chairman of the Board of privately-held ComHear Inc., a digital audio software and device company. Mr. Sassine previously served on the board of Acorn Energy, Inc., CNS Response, Inc. and FluoroPharma Medical, Inc. Earlier in his career, Mr. Sassine served in various positions at Fidelity Investments from 1999 to 2012, most recently as portfolio manager. Mr. Sassine received a B.A. from the University of Iowa in 1987 and an M.B.A. from the Wharton School at the University of Pennsylvania in 1993.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Arcturus Therapeutics Ltd.</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Founded in 2013 and based in San Diego, California, Arcturus Therapeutics Ltd. (NASDAQ: ARCT) is an RNA medicines company with enabling technologies – UNA Oligomer chemistry and LUNAR® lipid-mediated delivery. Arcturus’ diverse pipeline of RNA therapeutics includes programs pursuing rare diseases, Hepatitis B, non-alcoholic steatohepatitis (NASH), cystic fibrosis, and vaccines. Arcturus’ versatile RNA therapeutics platforms can be applied toward multiple types of RNA medicines including small interfering RNA, messenger RNA, replicon RNA, antisense RNA, microRNA and gene editing therapeutics. Arcturus owns LUNAR lipid-mediated delivery and Unlocked Nucleomonomer Agent (UNA) technology including UNA Oligomers, which are covered by its extensive patent portfolio (140 patents and patent applications, issued in the U.S., Europe, Japan, China and other countries). Arcturus’ proprietary UNA technology can be used to target individual genes in the human genome, as well as viral genes, and other species for therapeutic purposes. Arcturus’ commitment to the development of novel RNA therapeutics has led to partnerships with Janssen Pharmaceuticals, Inc., part of the Janssen Pharmaceutical Companies of Johnson &amp; Johnson, Ultragenyx Pharmaceutical, Inc., Takeda Pharmaceutical Company Limited, Synthetic Genomics Inc., CureVac AG and Cystic Fibrosis Foundation Therapeutics Inc. For more information, visit www.Arcturusrx.com, the content of which is not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regarding strategy, future operations, collaborations, future financial position, prospects, plans and objectives of management are forward-looking statements. Examples of such statements include, but are not limited to, statements regarding Arcturus appointment of an interim Chief Financial Officer. Arcturus may not actually achieve the plans, carry out the intentions or meet the expectations or projections disclosed in any forward-looking statements and you should not place undue reliance on such forward-looking statements. Actual results and performance could differ materially from those projected in any forward-looking statements as a result of many factors, including without limitation, an inability to develop and market product candidates. Such statements are based on management’s current expectations and involve risks and uncertainties, including those discussed under the heading “Risk Factors” in Arcturus’ Annual Report on Form 20-F for the fiscal year ended December 31, 2017, filed with the SEC on May 14, 2018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Neda Safarzadeh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Ltd.</w:t>
      </w:r>
    </w:p>
    <w:p>
      <w:pPr>
        <w:spacing w:after="0" w:line="9"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900-2682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IR@ArcturusRx.com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Arcturus Investor 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Wood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ind w:right="9320"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597-6979 mwood@lifesciadvisors.com</w:t>
      </w:r>
    </w:p>
    <w:sectPr>
      <w:pgSz w:w="11900" w:h="16838" w:orient="portrait"/>
      <w:cols w:equalWidth="0" w:num="1">
        <w:col w:w="11420"/>
      </w:cols>
      <w:pgMar w:left="240" w:top="7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858"/>
    </w:lvl>
  </w:abstractNum>
  <w:abstractNum w:abstractNumId="1">
    <w:nsid w:val="19495CFF"/>
    <w:multiLevelType w:val="hybridMultilevel"/>
    <w:lvl w:ilvl="0">
      <w:lvlJc w:val="left"/>
      <w:lvlText w:val="(%1)"/>
      <w:numFmt w:val="decimal"/>
      <w:start w:val="646"/>
    </w:lvl>
  </w:abstractNum>
  <w:abstractNum w:abstractNumId="2">
    <w:nsid w:val="2AE8944A"/>
    <w:multiLevelType w:val="hybridMultilevel"/>
    <w:lvl w:ilvl="0">
      <w:lvlJc w:val="left"/>
      <w:lvlText w:val="(%1)"/>
      <w:numFmt w:val="decimal"/>
      <w:start w:val="858"/>
    </w:lvl>
  </w:abstractNum>
  <w:abstractNum w:abstractNumId="3">
    <w:nsid w:val="625558EC"/>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2019-12-08T04:53:39Z</dcterms:created>
  <dcterms:modified xsi:type="dcterms:W3CDTF">2019-12-08T04:53:39Z</dcterms:modified>
</cp:coreProperties>
</file>