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May 2018 (Report No. 1)</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198"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ARCTURUS THERAPEUTICS LTD.</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10628 Science Center Drive, Suite 200</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02" w:right="1440" w:bottom="1440" w:gutter="0" w:footer="0" w:header="0"/>
        </w:sectPr>
      </w:pPr>
    </w:p>
    <w:bookmarkStart w:id="1" w:name="page2"/>
    <w:bookmarkEnd w:id="1"/>
    <w:p>
      <w:pPr>
        <w:ind w:firstLine="648"/>
        <w:spacing w:after="0" w:line="342" w:lineRule="auto"/>
        <w:rPr>
          <w:sz w:val="20"/>
          <w:szCs w:val="20"/>
          <w:color w:val="auto"/>
        </w:rPr>
      </w:pPr>
      <w:r>
        <w:rPr>
          <w:rFonts w:ascii="Arial" w:cs="Arial" w:eastAsia="Arial" w:hAnsi="Arial"/>
          <w:sz w:val="16"/>
          <w:szCs w:val="16"/>
          <w:color w:val="auto"/>
        </w:rPr>
        <w:t>On May 14, 2018, Arcturus Therapeutics Ltd. (the “Company”) announced the filing (on May 14, 2018) of the Company’s Annual Report on Form 20-F for the fiscal year ended December 31, 2017 with the U.S. Securities and Exchange Commission. The press release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8"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6140" w:type="dxa"/>
            <w:vAlign w:val="bottom"/>
            <w:gridSpan w:val="2"/>
          </w:tcPr>
          <w:p>
            <w:pPr>
              <w:ind w:left="2140"/>
              <w:spacing w:after="0"/>
              <w:rPr>
                <w:sz w:val="20"/>
                <w:szCs w:val="20"/>
                <w:color w:val="auto"/>
              </w:rPr>
            </w:pPr>
            <w:r>
              <w:rPr>
                <w:rFonts w:ascii="Arial" w:cs="Arial" w:eastAsia="Arial" w:hAnsi="Arial"/>
                <w:sz w:val="18"/>
                <w:szCs w:val="18"/>
                <w:color w:val="auto"/>
              </w:rPr>
              <w:t>ARCTURUS THERAPEUTICS LTD.</w:t>
            </w:r>
          </w:p>
        </w:tc>
        <w:tc>
          <w:tcPr>
            <w:tcW w:w="1700" w:type="dxa"/>
            <w:vAlign w:val="bottom"/>
          </w:tcPr>
          <w:p>
            <w:pPr>
              <w:spacing w:after="0"/>
              <w:rPr>
                <w:sz w:val="20"/>
                <w:szCs w:val="20"/>
                <w:color w:val="auto"/>
              </w:rPr>
            </w:pP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 May 14, 2018</w:t>
            </w:r>
          </w:p>
        </w:tc>
        <w:tc>
          <w:tcPr>
            <w:tcW w:w="2820" w:type="dxa"/>
            <w:vAlign w:val="bottom"/>
          </w:tcPr>
          <w:p>
            <w:pPr>
              <w:ind w:left="2140"/>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Herbert</w:t>
            </w:r>
          </w:p>
        </w:tc>
        <w:tc>
          <w:tcPr>
            <w:tcW w:w="170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820" w:type="dxa"/>
            <w:vAlign w:val="bottom"/>
          </w:tcPr>
          <w:p>
            <w:pPr>
              <w:ind w:left="2140"/>
              <w:spacing w:after="0" w:line="195" w:lineRule="exact"/>
              <w:rPr>
                <w:sz w:val="20"/>
                <w:szCs w:val="20"/>
                <w:color w:val="auto"/>
              </w:rPr>
            </w:pPr>
            <w:r>
              <w:rPr>
                <w:rFonts w:ascii="Arial" w:cs="Arial" w:eastAsia="Arial" w:hAnsi="Arial"/>
                <w:sz w:val="18"/>
                <w:szCs w:val="18"/>
                <w:color w:val="auto"/>
              </w:rPr>
              <w:t>Name:</w:t>
            </w:r>
          </w:p>
        </w:tc>
        <w:tc>
          <w:tcPr>
            <w:tcW w:w="3320" w:type="dxa"/>
            <w:vAlign w:val="bottom"/>
          </w:tcPr>
          <w:p>
            <w:pPr>
              <w:spacing w:after="0" w:line="195" w:lineRule="exact"/>
              <w:rPr>
                <w:sz w:val="20"/>
                <w:szCs w:val="20"/>
                <w:color w:val="auto"/>
              </w:rPr>
            </w:pPr>
            <w:r>
              <w:rPr>
                <w:rFonts w:ascii="Arial" w:cs="Arial" w:eastAsia="Arial" w:hAnsi="Arial"/>
                <w:sz w:val="18"/>
                <w:szCs w:val="18"/>
                <w:color w:val="auto"/>
              </w:rPr>
              <w:t>Mark Herbert</w:t>
            </w:r>
          </w:p>
        </w:tc>
        <w:tc>
          <w:tcPr>
            <w:tcW w:w="170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820" w:type="dxa"/>
            <w:vAlign w:val="bottom"/>
          </w:tcPr>
          <w:p>
            <w:pPr>
              <w:ind w:left="2140"/>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r>
              <w:rPr>
                <w:rFonts w:ascii="Arial" w:cs="Arial" w:eastAsia="Arial" w:hAnsi="Arial"/>
                <w:sz w:val="18"/>
                <w:szCs w:val="18"/>
                <w:color w:val="auto"/>
              </w:rPr>
              <w:t>Interim President</w:t>
            </w:r>
          </w:p>
        </w:tc>
        <w:tc>
          <w:tcPr>
            <w:tcW w:w="1700" w:type="dxa"/>
            <w:vAlign w:val="bottom"/>
          </w:tcPr>
          <w:p>
            <w:pPr>
              <w:spacing w:after="0"/>
              <w:rPr>
                <w:sz w:val="20"/>
                <w:szCs w:val="20"/>
                <w:color w:val="auto"/>
              </w:rPr>
            </w:pPr>
          </w:p>
        </w:tc>
      </w:tr>
      <w:tr>
        <w:trPr>
          <w:trHeight w:val="891"/>
        </w:trPr>
        <w:tc>
          <w:tcPr>
            <w:tcW w:w="35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984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5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840" w:type="dxa"/>
            <w:vAlign w:val="bottom"/>
          </w:tcPr>
          <w:p>
            <w:pPr>
              <w:ind w:left="72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99.1</w:t>
            </w:r>
          </w:p>
        </w:tc>
        <w:tc>
          <w:tcPr>
            <w:tcW w:w="9840" w:type="dxa"/>
            <w:vAlign w:val="bottom"/>
          </w:tcPr>
          <w:p>
            <w:pPr>
              <w:ind w:left="720"/>
              <w:spacing w:after="0"/>
              <w:rPr>
                <w:sz w:val="20"/>
                <w:szCs w:val="20"/>
                <w:color w:val="auto"/>
              </w:rPr>
            </w:pPr>
            <w:r>
              <w:rPr>
                <w:rFonts w:ascii="Arial" w:cs="Arial" w:eastAsia="Arial" w:hAnsi="Arial"/>
                <w:sz w:val="18"/>
                <w:szCs w:val="18"/>
                <w:color w:val="auto"/>
              </w:rPr>
              <w:t>Press Release issued by the Company on May 14, 2018, titled “Arcturus Therapeutics Files Form 20-F.”</w:t>
            </w:r>
          </w:p>
        </w:tc>
      </w:tr>
      <w:tr>
        <w:trPr>
          <w:trHeight w:val="675"/>
        </w:trPr>
        <w:tc>
          <w:tcPr>
            <w:tcW w:w="15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Files Form 20-F</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San Diego, CA – May 14, 2018 </w:t>
      </w:r>
      <w:r>
        <w:rPr>
          <w:rFonts w:ascii="Arial" w:cs="Arial" w:eastAsia="Arial" w:hAnsi="Arial"/>
          <w:sz w:val="18"/>
          <w:szCs w:val="18"/>
          <w:color w:val="auto"/>
        </w:rPr>
        <w:t>– Arcturus Therapeutics Ltd. (NASDAQ: ARCT), a leading RNA medicines company, today announced the filing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Annual Report on Form 20-F for the fiscal year ended December 31, 2017 with the U.S. Securities and Exchange Commission on May 14, 2018. The document is also available on the company's corporate website at https://arcturusrx.com.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Arcturus said:</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filing of our Form 20-F is a key milestone in strengthening the Company and complying with financial disclosure requirements following our merger last year. We are actively advancing our preclinical programs and partnerships, and continue to make significant progress towards developing innovative RNA medicines to transform the lives of patients with serious diseases.</w:t>
      </w:r>
    </w:p>
    <w:p>
      <w:pPr>
        <w:spacing w:after="0" w:line="18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the last two quarters, we have initiated several new collaborative programs with Janssen, CureVac and Synthetic Genomics, and we continue progressing programs within the Takeda and Ultragenyx relationships. We have achieved proof of concept for the Ultragenyx program LUNAR-GSDIII in the preclinical disease model. In our internal programs, we are moving the LUNAR-OTC program closer to the clinic with our co-development partner CureVac, and have achieved several milestones in the LUNAR-CF program supported by Cystic Fibrosis Foundation Therapeutics.</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Executive Committee of Arcturus’ Board of Directors and the refreshed Arcturus management team remain focused on executing on our strategic initiatives and driving long-term growth and value for our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 Ltd.</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Founded in 2013 and based in San Diego, Arcturus Therapeutics Ltd. (NASDAQ: ARCT) is an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(140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 Inc., CureVac AG and Cystic Fibrosis Foundation Therapeutics Inc. For more information, visit www.ArcturusRx.com, the content of which is not incorporated herein by reference.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may contain “forward-looking statements” that involve substantial risks and uncertainties for purposes of the safe harbor provided by the Private Securities Litigation Reform Act of 1995. Any statements, other than statements of historical fact, included in this press release including with respect to activities to advance the Company’s preclinical programs and partnerships, the potential of the Company’s RNA medicines to transform the lives of patients, the future of the Company’s current and future collaborations, and the potential for long-term growth, are forward-looking statements. Any such statements are based on management’s current expectations and involve risks and uncertainties, including the risks inherent in preclinical and clinical drug development, risks related to collaborations with third parties and the risks related to the holding shares of the Company’s stock for the long term. Arcturus may not actually achieve the plans, carry out the intentions or meet the expectations or projections disclosed in any forward-looking statements and you should not place undue reliance on those forward-looking statements. Actual results and performance could differ materially from those projected in any forward-looking statements. The forward-looking statements contained or implied in this press release are subject to other risks and uncertainties, including those discussed under the heading “Risk Factors” in Arcturus’ (formerly Alcobra Ltd.’s) Annual Report on Form 20-F for the fiscal year ended December 31, 2017, filed with the SEC on May 14, 2018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jc w:val="center"/>
        <w:ind w:right="982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900-2660 info@arcturusRx.com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Andrew Brimmer / Trevor Gibbons / Joseph Sala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355-4449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93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597-6979 mwood@lifesciadvisors.com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Mike Verrechia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Morrow Sodali, LLC</w:t>
      </w:r>
    </w:p>
    <w:p>
      <w:pPr>
        <w:spacing w:after="0" w:line="9" w:lineRule="exact"/>
        <w:rPr>
          <w:sz w:val="20"/>
          <w:szCs w:val="20"/>
          <w:color w:val="auto"/>
        </w:rPr>
      </w:pPr>
    </w:p>
    <w:p>
      <w:pPr>
        <w:ind w:right="942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300-2476 ARCT@morrowsodali.com</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858"/>
    </w:lvl>
  </w:abstractNum>
  <w:abstractNum w:abstractNumId="1">
    <w:nsid w:val="74B0DC51"/>
    <w:multiLevelType w:val="hybridMultilevel"/>
    <w:lvl w:ilvl="0">
      <w:lvlJc w:val="left"/>
      <w:lvlText w:val="(%1)"/>
      <w:numFmt w:val="decimal"/>
      <w:start w:val="646"/>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2019-12-08T05:51:06Z</dcterms:created>
  <dcterms:modified xsi:type="dcterms:W3CDTF">2019-12-08T05:51:06Z</dcterms:modified>
</cp:coreProperties>
</file>