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Kurata Lance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Arcturus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ARCT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37"/>
        <w:spacing w:after="0" w:line="313" w:lineRule="auto"/>
        <w:rPr>
          <w:sz w:val="20"/>
          <w:szCs w:val="20"/>
          <w:color w:val="auto"/>
        </w:rPr>
      </w:pPr>
      <w:r>
        <w:rPr>
          <w:rFonts w:ascii="Arial" w:cs="Arial" w:eastAsia="Arial" w:hAnsi="Arial"/>
          <w:sz w:val="18"/>
          <w:szCs w:val="18"/>
          <w:color w:val="0000FF"/>
        </w:rPr>
        <w:t>C/O ARCTURUS THERAPEUTICS HOLDINGS INC.</w:t>
      </w:r>
    </w:p>
    <w:p>
      <w:pPr>
        <w:ind w:left="140" w:right="1297"/>
        <w:spacing w:after="0" w:line="269" w:lineRule="auto"/>
        <w:rPr>
          <w:sz w:val="20"/>
          <w:szCs w:val="20"/>
          <w:color w:val="auto"/>
        </w:rPr>
      </w:pPr>
      <w:r>
        <w:rPr>
          <w:rFonts w:ascii="Arial" w:cs="Arial" w:eastAsia="Arial" w:hAnsi="Arial"/>
          <w:sz w:val="20"/>
          <w:szCs w:val="20"/>
          <w:color w:val="0000FF"/>
        </w:rPr>
        <w:t>10628 SCIENCE CENTER DRIVE, SUITE 250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Chief Legal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6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Lance Kurata</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08/12/2020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left="500" w:right="1000"/>
        <w:spacing w:after="0" w:line="282" w:lineRule="auto"/>
        <w:rPr>
          <w:sz w:val="20"/>
          <w:szCs w:val="20"/>
          <w:color w:val="auto"/>
        </w:rPr>
      </w:pPr>
      <w:r>
        <w:rPr>
          <w:rFonts w:ascii="Arial" w:cs="Arial" w:eastAsia="Arial" w:hAnsi="Arial"/>
          <w:sz w:val="20"/>
          <w:szCs w:val="20"/>
          <w:b w:val="1"/>
          <w:bCs w:val="1"/>
          <w:color w:val="auto"/>
        </w:rPr>
        <w:t>POWER OF ATTORNEY FOR SEC FILINGS ON FORMS ID, 3, 4, 5, 144, SCHEDULES 13D and 13G IN RESPECT OF SECURITIES OF ARCTURUS THERAPEUTICS HOLDINGS INC.</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The undersigned hereby constitutes and appoints each of Nathan Hyman, Jeffrey Baumel and Ilan Katz as his true and lawful attorney-in-fact and agent, with full power of substitution and resubstitution for him in his name and stead in any and all capacities, to sign and file for and on his behalf, in respect of any acquisition, disposition or other change in ownership of any common stock or derivative securities thereof of Arcturus Therapeutics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the following:</w:t>
      </w:r>
    </w:p>
    <w:p>
      <w:pPr>
        <w:spacing w:after="0" w:line="200" w:lineRule="exact"/>
        <w:rPr>
          <w:sz w:val="20"/>
          <w:szCs w:val="20"/>
          <w:color w:val="auto"/>
        </w:rPr>
      </w:pPr>
    </w:p>
    <w:p>
      <w:pPr>
        <w:spacing w:after="0" w:line="232" w:lineRule="exact"/>
        <w:rPr>
          <w:sz w:val="20"/>
          <w:szCs w:val="20"/>
          <w:color w:val="auto"/>
        </w:rPr>
      </w:pPr>
    </w:p>
    <w:p>
      <w:pPr>
        <w:ind w:left="960" w:hanging="7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Form ID or Update Passphrase Confirmation to be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920" w:hanging="740"/>
        <w:spacing w:after="0"/>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Initial Statement of Beneficial Ownership of Securities on Form 3 to be filed with the SEC;</w:t>
      </w:r>
    </w:p>
    <w:p>
      <w:pPr>
        <w:spacing w:after="0" w:line="250" w:lineRule="exact"/>
        <w:rPr>
          <w:rFonts w:ascii="Arial" w:cs="Arial" w:eastAsia="Arial" w:hAnsi="Arial"/>
          <w:sz w:val="20"/>
          <w:szCs w:val="20"/>
          <w:color w:val="auto"/>
        </w:rPr>
      </w:pPr>
    </w:p>
    <w:p>
      <w:pPr>
        <w:ind w:left="880" w:hanging="700"/>
        <w:spacing w:after="0"/>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Statement of Changes of Beneficial Ownership of Securities on Form 4 to be filed with the SEC;</w:t>
      </w:r>
    </w:p>
    <w:p>
      <w:pPr>
        <w:spacing w:after="0" w:line="250" w:lineRule="exact"/>
        <w:rPr>
          <w:rFonts w:ascii="Arial" w:cs="Arial" w:eastAsia="Arial" w:hAnsi="Arial"/>
          <w:sz w:val="20"/>
          <w:szCs w:val="20"/>
          <w:color w:val="auto"/>
        </w:rPr>
      </w:pPr>
    </w:p>
    <w:p>
      <w:pPr>
        <w:ind w:left="920" w:hanging="740"/>
        <w:spacing w:after="0"/>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Annual Statement of Beneficial Ownership of Securities on Form 5 to be filed with the SEC;</w:t>
      </w:r>
    </w:p>
    <w:p>
      <w:pPr>
        <w:spacing w:after="0" w:line="250" w:lineRule="exact"/>
        <w:rPr>
          <w:rFonts w:ascii="Arial" w:cs="Arial" w:eastAsia="Arial" w:hAnsi="Arial"/>
          <w:sz w:val="20"/>
          <w:szCs w:val="20"/>
          <w:color w:val="auto"/>
        </w:rPr>
      </w:pPr>
    </w:p>
    <w:p>
      <w:pPr>
        <w:ind w:left="920" w:hanging="740"/>
        <w:spacing w:after="0"/>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Notice of Proposed Sale of Securities on Form 144 to be filed with the SEC;</w:t>
      </w:r>
    </w:p>
    <w:p>
      <w:pPr>
        <w:spacing w:after="0" w:line="250" w:lineRule="exact"/>
        <w:rPr>
          <w:rFonts w:ascii="Arial" w:cs="Arial" w:eastAsia="Arial" w:hAnsi="Arial"/>
          <w:sz w:val="20"/>
          <w:szCs w:val="20"/>
          <w:color w:val="auto"/>
        </w:rPr>
      </w:pPr>
    </w:p>
    <w:p>
      <w:pPr>
        <w:ind w:right="820" w:firstLine="180"/>
        <w:spacing w:after="0" w:line="277" w:lineRule="auto"/>
        <w:tabs>
          <w:tab w:leader="none" w:pos="919"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other forms or reports the undersigned may be required to file in connection with the undersigned's ownership, acquisition or disposition of securities of the Company, including Schedules 13G and 13D; and</w:t>
      </w:r>
    </w:p>
    <w:p>
      <w:pPr>
        <w:spacing w:after="0" w:line="189" w:lineRule="exact"/>
        <w:rPr>
          <w:rFonts w:ascii="Arial" w:cs="Arial" w:eastAsia="Arial" w:hAnsi="Arial"/>
          <w:sz w:val="20"/>
          <w:szCs w:val="20"/>
          <w:color w:val="auto"/>
        </w:rPr>
      </w:pPr>
    </w:p>
    <w:p>
      <w:pPr>
        <w:ind w:left="880" w:hanging="700"/>
        <w:spacing w:after="0"/>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and all agreements, certificates, receipts, or other documents in connection therewith.</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agents full power and authority to do and perform each and every act and thing requisite and necessary in connection with such matters and hereby ratifies and confirms all that any such attorneys-in-fact and agents or substitutes may do or cause to be done by virtue hereof.</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acknowledges that:</w:t>
      </w:r>
    </w:p>
    <w:p>
      <w:pPr>
        <w:spacing w:after="0" w:line="250" w:lineRule="exact"/>
        <w:rPr>
          <w:sz w:val="20"/>
          <w:szCs w:val="20"/>
          <w:color w:val="auto"/>
        </w:rPr>
      </w:pPr>
    </w:p>
    <w:p>
      <w:pPr>
        <w:jc w:val="both"/>
        <w:ind w:left="660" w:right="80" w:hanging="300"/>
        <w:spacing w:after="0" w:line="259"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neither the Company nor such attorney-in-fact assumes (1) any liability for the undersigned's responsibility to comply with the requirement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(2) any liability of the undersigned for any failure to comply with such requirements or (3) any obligation or liability of the undersigned for profit disgorgement under Section 16(b) of the Exchange Act; and</w:t>
      </w:r>
    </w:p>
    <w:p>
      <w:pPr>
        <w:spacing w:after="0" w:line="207" w:lineRule="exact"/>
        <w:rPr>
          <w:rFonts w:ascii="Arial" w:cs="Arial" w:eastAsia="Arial" w:hAnsi="Arial"/>
          <w:sz w:val="20"/>
          <w:szCs w:val="20"/>
          <w:color w:val="auto"/>
        </w:rPr>
      </w:pPr>
    </w:p>
    <w:p>
      <w:pPr>
        <w:ind w:left="660" w:right="180" w:hanging="300"/>
        <w:spacing w:after="0" w:line="259"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one year from the date hereof or until revoked by the undersigned in a signed writing delivered to such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20"/>
          </w:cols>
          <w:pgMar w:left="480" w:top="389" w:right="49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IN WITNESS WHEREOF, the undersigned has executed this Power of Attorney.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80" w:type="dxa"/>
            <w:vAlign w:val="bottom"/>
          </w:tcPr>
          <w:p>
            <w:pPr>
              <w:spacing w:after="0"/>
              <w:rPr>
                <w:sz w:val="20"/>
                <w:szCs w:val="20"/>
                <w:color w:val="auto"/>
              </w:rPr>
            </w:pPr>
            <w:r>
              <w:rPr>
                <w:rFonts w:ascii="Arial" w:cs="Arial" w:eastAsia="Arial" w:hAnsi="Arial"/>
                <w:sz w:val="20"/>
                <w:szCs w:val="20"/>
                <w:color w:val="auto"/>
              </w:rPr>
              <w:t>Date: August 10, 2020</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Lance Kurata</w:t>
            </w:r>
          </w:p>
        </w:tc>
      </w:tr>
      <w:tr>
        <w:trPr>
          <w:trHeight w:val="251"/>
        </w:trPr>
        <w:tc>
          <w:tcPr>
            <w:tcW w:w="65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Lance Kurata</w:t>
            </w:r>
          </w:p>
        </w:tc>
      </w:tr>
    </w:tbl>
    <w:p>
      <w:pPr>
        <w:spacing w:after="0" w:line="1" w:lineRule="exact"/>
        <w:rPr>
          <w:sz w:val="20"/>
          <w:szCs w:val="20"/>
          <w:color w:val="auto"/>
        </w:rPr>
      </w:pPr>
    </w:p>
    <w:sectPr>
      <w:pgSz w:w="11900" w:h="16838" w:orient="portrait"/>
      <w:cols w:equalWidth="0" w:num="1">
        <w:col w:w="10940"/>
      </w:cols>
      <w:pgMar w:left="480" w:top="36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0961" TargetMode="External"/><Relationship Id="rId11"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2020-08-12T19:38:40Z</dcterms:created>
  <dcterms:modified xsi:type="dcterms:W3CDTF">2020-08-12T19:38:40Z</dcterms:modified>
</cp:coreProperties>
</file>