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40" w:right="4680" w:firstLine="232"/>
        <w:spacing w:after="0" w:line="498" w:lineRule="auto"/>
        <w:tabs>
          <w:tab w:leader="none" w:pos="5236"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Arcturus Therapeutics Ltd.</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0.07</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180"/>
        <w:spacing w:after="0"/>
        <w:rPr>
          <w:sz w:val="20"/>
          <w:szCs w:val="20"/>
          <w:color w:val="auto"/>
        </w:rPr>
      </w:pPr>
      <w:r>
        <w:rPr>
          <w:rFonts w:ascii="Arial" w:cs="Arial" w:eastAsia="Arial" w:hAnsi="Arial"/>
          <w:sz w:val="22"/>
          <w:szCs w:val="22"/>
          <w:u w:val="single" w:color="auto"/>
          <w:color w:val="auto"/>
        </w:rPr>
        <w:t>M1492T105</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BROSH CAPITAL PARTNERS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4 Ariel Sharon Street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Givataim, Israel</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April 27, 2018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line="230" w:lineRule="auto"/>
        <w:tabs>
          <w:tab w:leader="none" w:pos="648" w:val="left"/>
        </w:tabs>
        <w:numPr>
          <w:ilvl w:val="0"/>
          <w:numId w:val="2"/>
        </w:numPr>
        <w:rPr>
          <w:rFonts w:ascii="Arial" w:cs="Arial" w:eastAsia="Arial" w:hAnsi="Arial"/>
          <w:sz w:val="25"/>
          <w:szCs w:val="25"/>
          <w:color w:val="auto"/>
          <w:vertAlign w:val="superscript"/>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2"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M1492T105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Brosh Capital Partners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453,863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453,863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453,863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Exodus Management Israel Ltd.</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487,048</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487,048</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487,048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4.6%</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Aharon Biram</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41,071</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41,071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41,071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Ester Deutsch</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41,060</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41,060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41,060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Amir Efrati</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569,179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569,179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569,179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M1492T105</w:t>
      </w:r>
    </w:p>
    <w:p>
      <w:pPr>
        <w:spacing w:after="0" w:line="10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following constitutes the Schedule 13D filed by the undersigned (the “Schedule 13D”). On April 9, 2018, the Reporting Persons filed a statement on Schedule 13G pursuant to Rule 13d-1(c) of the Exchange Act. As a result of certain correspondence sent by the Reporting Persons, as described in Item 4, the Reporting Persons are transitioning back to a Schedule 13D.</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This statement relates to the Ordinary Shares, par value of NIS 0.07 (the “Shares”), of Arcturus Therapeutics Ltd., an Israeli corporation (the “Issuer”). The address of the principal executive offices of the Issuer is 10628 Science Center Drive, Suite 200, San Diego, California 92121.</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25" w:lineRule="exact"/>
        <w:rPr>
          <w:sz w:val="20"/>
          <w:szCs w:val="20"/>
          <w:color w:val="auto"/>
        </w:rPr>
      </w:pPr>
    </w:p>
    <w:p>
      <w:pPr>
        <w:ind w:left="1940" w:hanging="645"/>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Brosh Capital Partners L.P., a Cayman Islands limited partnership (“Brosh”);</w:t>
      </w:r>
    </w:p>
    <w:p>
      <w:pPr>
        <w:spacing w:after="0" w:line="225" w:lineRule="exact"/>
        <w:rPr>
          <w:rFonts w:ascii="Arial" w:cs="Arial" w:eastAsia="Arial" w:hAnsi="Arial"/>
          <w:sz w:val="18"/>
          <w:szCs w:val="18"/>
          <w:color w:val="auto"/>
        </w:rPr>
      </w:pPr>
    </w:p>
    <w:p>
      <w:pPr>
        <w:ind w:left="2600" w:right="160" w:hanging="647"/>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Exodus Management Israel Ltd., an Israeli corporation, which serves as the general partner of Brosh (“Exodus GP”) and as portfolio manager for a certain managed account (the “Exodus Managed Account”);</w:t>
      </w:r>
    </w:p>
    <w:p>
      <w:pPr>
        <w:spacing w:after="0" w:line="170" w:lineRule="exact"/>
        <w:rPr>
          <w:rFonts w:ascii="Arial" w:cs="Arial" w:eastAsia="Arial" w:hAnsi="Arial"/>
          <w:sz w:val="18"/>
          <w:szCs w:val="18"/>
          <w:color w:val="auto"/>
        </w:rPr>
      </w:pPr>
    </w:p>
    <w:p>
      <w:pPr>
        <w:ind w:left="2600" w:right="140" w:hanging="647"/>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Amir Efrati, who serves as the portfolio manager of each of Brosh and Exodus GP, and as the sole director and officer of Exodus GP;</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Aharon Biram; and</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Ester Deutsch.</w:t>
      </w:r>
    </w:p>
    <w:p>
      <w:pPr>
        <w:spacing w:after="0" w:line="22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24" w:lineRule="exact"/>
        <w:rPr>
          <w:sz w:val="20"/>
          <w:szCs w:val="20"/>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address of the principal office of each of the Reporting Persons is 4 Ariel Sharon Street, Givataim, Israel.</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9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business of Brosh is investing in securities. The principal business of Exodus GP is serving as the general partner of Brosh and as a portfolio manager for the Exodus Managed Account. The principal occupation of Mr. Efrati is serving as the portfolio manager of each of Brosh and Exodus GP. The principal occupation of Mr. Biram is serving as the chairman of Sunflower Sustainable Investments Ltd. and as a private investor. The principal occupation of Ms. Deutsch is a medical doctor.</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Reporting Person has, during the last five years, been convicted in a criminal proceeding (excluding traffic violations or similar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misdemeanors).</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945"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Messrs. Efrati and Biram and Ms. Deutsch are citizens of Israel.</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Item 3.</w:t>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The Shares purchased by Brosh and the Shares held in the Exodus Managed Account, were purchased with working capital (which may, at any given time, include margin loans made by brokerage firms in the ordinary course of business) in open market purchases, except as otherwise noted in Schedule A, which is incorporated herein by reference. The aggregate purchase price of the 453,863 Shares owned directly by Brosh is approximately $2,677,792, excluding brokerage commissions. The aggregate purchase price of the 33,185 Shares held in the Exodus Managed Account is approximately $195,792, excluding brokerage commissions. The Shares purchased by Mr. Biram were purchased with personal funds, in open market purchases, except as otherwise noted in Schedule A, which is incorporated herein by reference. The aggregate purchase price of the 41,071 Shares owned directly by Mr. Biram is approximately $242,319, excluding brokerage commissions. The Shares purchased by Ms. Deutsch were purchased with personal funds, in open market purchases, except as otherwise noted in Schedule A, which is incorporated herein by reference. The aggregate purchase price of the 41,060 Shares owned directly by Ms. Deutsch is approximately $242,254, excluding brokerage commissions.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On April 27, 2018, certain of the Reporting Persons sent a letter to the Israeli Court expressing their opposition to a transaction they believe the Board of Directors of the Issuer has been pursuing.</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Reporting Person has any present plan or proposal which would relate to or result in any of the matters set forth in subparagraphs (a) -</w:t>
      </w:r>
    </w:p>
    <w:p>
      <w:pPr>
        <w:spacing w:after="0" w:line="46" w:lineRule="exact"/>
        <w:rPr>
          <w:sz w:val="20"/>
          <w:szCs w:val="20"/>
          <w:color w:val="auto"/>
        </w:rPr>
      </w:pPr>
    </w:p>
    <w:p>
      <w:pPr>
        <w:jc w:val="both"/>
        <w:ind w:firstLine="8"/>
        <w:spacing w:after="0" w:line="267" w:lineRule="auto"/>
        <w:tabs>
          <w:tab w:leader="none" w:pos="227" w:val="left"/>
        </w:tabs>
        <w:numPr>
          <w:ilvl w:val="0"/>
          <w:numId w:val="7"/>
        </w:numPr>
        <w:rPr>
          <w:rFonts w:ascii="Arial" w:cs="Arial" w:eastAsia="Arial" w:hAnsi="Arial"/>
          <w:sz w:val="17"/>
          <w:szCs w:val="17"/>
          <w:color w:val="auto"/>
        </w:rPr>
      </w:pPr>
      <w:r>
        <w:rPr>
          <w:rFonts w:ascii="Arial" w:cs="Arial" w:eastAsia="Arial" w:hAnsi="Arial"/>
          <w:sz w:val="17"/>
          <w:szCs w:val="17"/>
          <w:color w:val="auto"/>
        </w:rPr>
        <w:t>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purchasing additional Shares, selling some or all of their Shares, engaging in short selling of or any hedging or similar transaction with respect to the Shares, including swaps and other derivative instruments, or changing their intention with respect to any and all matters referred to in Item 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The aggregate percentage of Shares reported owned by each person named herein is based upon 10,691,945 Shares outstanding, as reported in the Issuer’s Report of Foreign Private Issuer on Form 6-K filed with the Securities and Exchange Commission on February 5, 2018.</w:t>
      </w:r>
    </w:p>
    <w:p>
      <w:pPr>
        <w:spacing w:after="0" w:line="14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Brosh</w:t>
      </w:r>
    </w:p>
    <w:p>
      <w:pPr>
        <w:spacing w:after="0" w:line="225" w:lineRule="exact"/>
        <w:rPr>
          <w:rFonts w:ascii="Arial" w:cs="Arial" w:eastAsia="Arial" w:hAnsi="Arial"/>
          <w:sz w:val="18"/>
          <w:szCs w:val="18"/>
          <w:color w:val="auto"/>
        </w:rPr>
      </w:pPr>
    </w:p>
    <w:p>
      <w:pPr>
        <w:ind w:left="1300" w:right="3240" w:hanging="644"/>
        <w:spacing w:after="0" w:line="532"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of the close of business on April 30, 2018, Brosh directly beneficially owns 453,863 Shares. Percentage: Approximately 4.2%</w:t>
      </w: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453,863</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453,863</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transactions in the Shares by Brosh during the past sixty days are set forth in Schedule A and are incorporated herein by reference.</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Exodus GP</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the general partner of Brosh, Exodus GP may be deemed to beneficially own the (i) 453,863 Shares beneficially owned by Brosh and (ii) 33,185 Shares held in the Exodus Managed Account.</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4.6%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487,048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487,048</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transactions in the Shares by Exodus GP through the Exodus Managed Account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Biram</w:t>
      </w:r>
    </w:p>
    <w:p>
      <w:pPr>
        <w:spacing w:after="0" w:line="225" w:lineRule="exact"/>
        <w:rPr>
          <w:rFonts w:ascii="Arial" w:cs="Arial" w:eastAsia="Arial" w:hAnsi="Arial"/>
          <w:sz w:val="18"/>
          <w:szCs w:val="18"/>
          <w:color w:val="auto"/>
        </w:rPr>
      </w:pPr>
    </w:p>
    <w:p>
      <w:pPr>
        <w:ind w:left="1300" w:right="3500" w:hanging="644"/>
        <w:spacing w:after="0" w:line="50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of the close of business on April 30, 2018, Mr. Biram beneficially owned 41,071 Shares. Percentage: Less than 1%</w:t>
      </w: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41,071</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41,071</w:t>
      </w:r>
    </w:p>
    <w:p>
      <w:pPr>
        <w:spacing w:after="0" w:line="210" w:lineRule="exact"/>
        <w:rPr>
          <w:rFonts w:ascii="Arial" w:cs="Arial" w:eastAsia="Arial" w:hAnsi="Arial"/>
          <w:sz w:val="18"/>
          <w:szCs w:val="18"/>
          <w:color w:val="auto"/>
        </w:rPr>
      </w:pPr>
    </w:p>
    <w:p>
      <w:pPr>
        <w:ind w:left="5660" w:right="80" w:hanging="5004"/>
        <w:spacing w:after="0" w:line="528"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transactions in the Shares by Mr. Biram during the past sixty days are set forth in Schedule A and are incorporated herein by reference.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M1492T105</w:t>
      </w:r>
    </w:p>
    <w:p>
      <w:pPr>
        <w:spacing w:after="0" w:line="10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Deutsch</w:t>
      </w:r>
    </w:p>
    <w:p>
      <w:pPr>
        <w:spacing w:after="0" w:line="225" w:lineRule="exact"/>
        <w:rPr>
          <w:rFonts w:ascii="Arial" w:cs="Arial" w:eastAsia="Arial" w:hAnsi="Arial"/>
          <w:sz w:val="18"/>
          <w:szCs w:val="18"/>
          <w:color w:val="auto"/>
        </w:rPr>
      </w:pPr>
    </w:p>
    <w:p>
      <w:pPr>
        <w:ind w:left="1300" w:right="3340" w:hanging="644"/>
        <w:spacing w:after="0" w:line="501"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of the close of business on April 30, 2018, Ms. Deutsch beneficially owned 41,060 Shares. Percentage: Less than 1%</w:t>
      </w: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41,060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41,060</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transactions in the Shares by Ms. Deutsch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Efrati</w:t>
      </w:r>
    </w:p>
    <w:p>
      <w:pPr>
        <w:spacing w:after="0" w:line="225" w:lineRule="exact"/>
        <w:rPr>
          <w:rFonts w:ascii="Arial" w:cs="Arial" w:eastAsia="Arial" w:hAnsi="Arial"/>
          <w:sz w:val="18"/>
          <w:szCs w:val="18"/>
          <w:color w:val="auto"/>
        </w:rPr>
      </w:pPr>
    </w:p>
    <w:p>
      <w:pPr>
        <w:jc w:val="both"/>
        <w:ind w:left="1300" w:right="20" w:hanging="644"/>
        <w:spacing w:after="0" w:line="31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Mr. Efrati as the portfolio manager of each of Brosh and Exodus GP and because of that certain Power of Attorney Agreement between him and each of Mr. Biram and Ms. Deutsch, may be deemed the beneficial owner of the: (i) 453,863 Shares owned by Brosh; (ii) 33,185 Shares held in the Exodus Managed Account; (iii) 41,071 Shares owned by Mr. Biram and (iv) 41,060 Shares owned by Ms. Deutsch.</w:t>
      </w:r>
    </w:p>
    <w:p>
      <w:pPr>
        <w:spacing w:after="0" w:line="1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Percentage: Approximately 5.3%</w:t>
      </w:r>
    </w:p>
    <w:p>
      <w:pPr>
        <w:spacing w:after="0" w:line="225" w:lineRule="exact"/>
        <w:rPr>
          <w:rFonts w:ascii="Arial" w:cs="Arial" w:eastAsia="Arial" w:hAnsi="Arial"/>
          <w:sz w:val="16"/>
          <w:szCs w:val="16"/>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569,179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569,179</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Mr. Efrati has not entered into any transactions in the Shares during the past sixty days. The transactions in the Shares by Brosh during the past sixty days are set forth in Schedule A and are incorporated herein by reference.</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ind w:right="40" w:firstLine="656"/>
        <w:spacing w:after="0" w:line="277" w:lineRule="auto"/>
        <w:tabs>
          <w:tab w:leader="none" w:pos="12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person, other than the Reporting Persons and the Exodus Managed Account, is known to have the right to receive, or the power to direct the receipt of dividends from, or proceeds from the sale of, the Shares.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April 30, 2018, the Reporting Persons entered into a Joint Filing Agreement in which the Reporting Persons agreed to the joint filing on behalf of each of them of statements on Schedule 13D with respect to securities of the Issuer, to the extent required by applicable law. The Joint Filing Agreement is attached hereto as Exhibit 99.1 and is incorporated herein by reference.</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Joint Filing Agreement by and among Brosh Capital Partners L.P., Exodus Management Israel Ltd., Amir Efrati, Aharon Biram and Ester Deutsch, dated April 30,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M1492T105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2018</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BROSH CAPITAL PARTNERS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Individually, and as attorney-in-fact for Aharon Biram and Ester Deutsch</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M1492T105</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gridSpan w:val="7"/>
          </w:tcPr>
          <w:p>
            <w:pPr>
              <w:jc w:val="center"/>
              <w:ind w:right="1820"/>
              <w:spacing w:after="0"/>
              <w:rPr>
                <w:sz w:val="20"/>
                <w:szCs w:val="20"/>
                <w:color w:val="auto"/>
              </w:rPr>
            </w:pPr>
            <w:r>
              <w:rPr>
                <w:rFonts w:ascii="Arial" w:cs="Arial" w:eastAsia="Arial" w:hAnsi="Arial"/>
                <w:sz w:val="18"/>
                <w:szCs w:val="18"/>
                <w:b w:val="1"/>
                <w:bCs w:val="1"/>
                <w:color w:val="auto"/>
                <w:w w:val="99"/>
              </w:rPr>
              <w:t>SCHEDULE A</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2"/>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b w:val="1"/>
                <w:bCs w:val="1"/>
                <w:color w:val="auto"/>
                <w:w w:val="89"/>
              </w:rPr>
              <w:t>Transaction in the Shares During the Past Sixty Days</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Nature of Transaction</w:t>
            </w:r>
          </w:p>
        </w:tc>
        <w:tc>
          <w:tcPr>
            <w:tcW w:w="2260" w:type="dxa"/>
            <w:vAlign w:val="bottom"/>
            <w:gridSpan w:val="10"/>
          </w:tcPr>
          <w:p>
            <w:pPr>
              <w:jc w:val="center"/>
              <w:ind w:left="530"/>
              <w:spacing w:after="0"/>
              <w:rPr>
                <w:sz w:val="20"/>
                <w:szCs w:val="20"/>
                <w:color w:val="auto"/>
              </w:rPr>
            </w:pPr>
            <w:r>
              <w:rPr>
                <w:rFonts w:ascii="Arial" w:cs="Arial" w:eastAsia="Arial" w:hAnsi="Arial"/>
                <w:sz w:val="18"/>
                <w:szCs w:val="18"/>
                <w:color w:val="auto"/>
                <w:w w:val="88"/>
              </w:rPr>
              <w:t>Date of Purchase/Sale</w:t>
            </w:r>
          </w:p>
        </w:tc>
        <w:tc>
          <w:tcPr>
            <w:tcW w:w="3020" w:type="dxa"/>
            <w:vAlign w:val="bottom"/>
            <w:gridSpan w:val="7"/>
          </w:tcPr>
          <w:p>
            <w:pPr>
              <w:ind w:left="1020"/>
              <w:spacing w:after="0"/>
              <w:rPr>
                <w:sz w:val="20"/>
                <w:szCs w:val="20"/>
                <w:color w:val="auto"/>
              </w:rPr>
            </w:pPr>
            <w:r>
              <w:rPr>
                <w:rFonts w:ascii="Arial" w:cs="Arial" w:eastAsia="Arial" w:hAnsi="Arial"/>
                <w:sz w:val="18"/>
                <w:szCs w:val="18"/>
                <w:color w:val="auto"/>
                <w:w w:val="88"/>
              </w:rPr>
              <w:t>Securities Purchased/(Sold)</w:t>
            </w:r>
          </w:p>
        </w:tc>
        <w:tc>
          <w:tcPr>
            <w:tcW w:w="1360" w:type="dxa"/>
            <w:vAlign w:val="bottom"/>
          </w:tcPr>
          <w:p>
            <w:pPr>
              <w:spacing w:after="0"/>
              <w:rPr>
                <w:sz w:val="24"/>
                <w:szCs w:val="24"/>
                <w:color w:val="auto"/>
              </w:rPr>
            </w:pPr>
          </w:p>
        </w:tc>
        <w:tc>
          <w:tcPr>
            <w:tcW w:w="1920" w:type="dxa"/>
            <w:vAlign w:val="bottom"/>
            <w:gridSpan w:val="2"/>
          </w:tcPr>
          <w:p>
            <w:pPr>
              <w:jc w:val="center"/>
              <w:ind w:right="920"/>
              <w:spacing w:after="0"/>
              <w:rPr>
                <w:sz w:val="20"/>
                <w:szCs w:val="20"/>
                <w:color w:val="auto"/>
              </w:rPr>
            </w:pPr>
            <w:r>
              <w:rPr>
                <w:rFonts w:ascii="Arial" w:cs="Arial" w:eastAsia="Arial" w:hAnsi="Arial"/>
                <w:sz w:val="18"/>
                <w:szCs w:val="18"/>
                <w:color w:val="auto"/>
                <w:w w:val="94"/>
              </w:rPr>
              <w:t xml:space="preserve">Price [U.S. </w:t>
            </w:r>
            <w:r>
              <w:rPr>
                <w:rFonts w:ascii="Arial" w:cs="Arial" w:eastAsia="Arial" w:hAnsi="Arial"/>
                <w:sz w:val="18"/>
                <w:szCs w:val="18"/>
                <w:u w:val="single" w:color="auto"/>
                <w:color w:val="auto"/>
                <w:w w:val="94"/>
              </w:rPr>
              <w:t>$</w:t>
            </w:r>
            <w:r>
              <w:rPr>
                <w:rFonts w:ascii="Arial" w:cs="Arial" w:eastAsia="Arial" w:hAnsi="Arial"/>
                <w:sz w:val="18"/>
                <w:szCs w:val="18"/>
                <w:color w:val="auto"/>
                <w:w w:val="94"/>
              </w:rPr>
              <w:t>]</w:t>
            </w:r>
          </w:p>
        </w:tc>
      </w:tr>
      <w:tr>
        <w:trPr>
          <w:trHeight w:val="196"/>
        </w:trPr>
        <w:tc>
          <w:tcPr>
            <w:tcW w:w="66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8"/>
              </w:rPr>
              <w:t>[dd/mm/yyyy]</w:t>
            </w:r>
          </w:p>
        </w:tc>
        <w:tc>
          <w:tcPr>
            <w:tcW w:w="280" w:type="dxa"/>
            <w:vAlign w:val="bottom"/>
            <w:tcBorders>
              <w:top w:val="single" w:sz="8" w:color="auto"/>
            </w:tcBorders>
            <w:gridSpan w:val="3"/>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844"/>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gridSpan w:val="13"/>
          </w:tcPr>
          <w:p>
            <w:pPr>
              <w:jc w:val="center"/>
              <w:ind w:right="800"/>
              <w:spacing w:after="0"/>
              <w:rPr>
                <w:sz w:val="20"/>
                <w:szCs w:val="20"/>
                <w:color w:val="auto"/>
              </w:rPr>
            </w:pPr>
            <w:r>
              <w:rPr>
                <w:rFonts w:ascii="Arial" w:cs="Arial" w:eastAsia="Arial" w:hAnsi="Arial"/>
                <w:sz w:val="18"/>
                <w:szCs w:val="18"/>
                <w:b w:val="1"/>
                <w:bCs w:val="1"/>
                <w:color w:val="auto"/>
                <w:w w:val="97"/>
              </w:rPr>
              <w:t>BROSH CAPITAL PARTNERS L.P.</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7"/>
        </w:trPr>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6"/>
            <w:shd w:val="clear" w:color="auto" w:fill="CCEEFF"/>
          </w:tcPr>
          <w:p>
            <w:pPr>
              <w:jc w:val="center"/>
              <w:ind w:left="810"/>
              <w:spacing w:after="0"/>
              <w:rPr>
                <w:sz w:val="20"/>
                <w:szCs w:val="20"/>
                <w:color w:val="auto"/>
              </w:rPr>
            </w:pPr>
            <w:r>
              <w:rPr>
                <w:rFonts w:ascii="Arial" w:cs="Arial" w:eastAsia="Arial" w:hAnsi="Arial"/>
                <w:sz w:val="18"/>
                <w:szCs w:val="18"/>
                <w:color w:val="auto"/>
                <w:w w:val="90"/>
              </w:rPr>
              <w:t>14/03/2018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40" w:type="dxa"/>
            <w:vAlign w:val="bottom"/>
            <w:gridSpan w:val="6"/>
            <w:shd w:val="clear" w:color="auto" w:fill="CCEEFF"/>
          </w:tcPr>
          <w:p>
            <w:pPr>
              <w:jc w:val="center"/>
              <w:ind w:left="1331"/>
              <w:spacing w:after="0" w:line="256" w:lineRule="exact"/>
              <w:rPr>
                <w:sz w:val="20"/>
                <w:szCs w:val="20"/>
                <w:color w:val="auto"/>
              </w:rPr>
            </w:pPr>
            <w:r>
              <w:rPr>
                <w:rFonts w:ascii="Arial" w:cs="Arial" w:eastAsia="Arial" w:hAnsi="Arial"/>
                <w:sz w:val="18"/>
                <w:szCs w:val="18"/>
                <w:color w:val="auto"/>
                <w:w w:val="92"/>
              </w:rPr>
              <w:t>20,000</w:t>
            </w:r>
            <w:r>
              <w:rPr>
                <w:rFonts w:ascii="Arial" w:cs="Arial" w:eastAsia="Arial" w:hAnsi="Arial"/>
                <w:sz w:val="29"/>
                <w:szCs w:val="29"/>
                <w:color w:val="auto"/>
                <w:w w:val="92"/>
                <w:vertAlign w:val="superscript"/>
              </w:rPr>
              <w:t>*</w:t>
            </w:r>
          </w:p>
        </w:tc>
        <w:tc>
          <w:tcPr>
            <w:tcW w:w="38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91"/>
              </w:rPr>
              <w:t>6.00</w:t>
            </w:r>
          </w:p>
        </w:tc>
        <w:tc>
          <w:tcPr>
            <w:tcW w:w="940" w:type="dxa"/>
            <w:vAlign w:val="bottom"/>
            <w:shd w:val="clear" w:color="auto" w:fill="CCEEFF"/>
          </w:tcPr>
          <w:p>
            <w:pPr>
              <w:spacing w:after="0"/>
              <w:rPr>
                <w:sz w:val="22"/>
                <w:szCs w:val="22"/>
                <w:color w:val="auto"/>
              </w:rPr>
            </w:pPr>
          </w:p>
        </w:tc>
      </w:tr>
      <w:tr>
        <w:trPr>
          <w:trHeight w:val="257"/>
        </w:trPr>
        <w:tc>
          <w:tcPr>
            <w:tcW w:w="2860" w:type="dxa"/>
            <w:vAlign w:val="bottom"/>
            <w:gridSpan w:val="3"/>
          </w:tcPr>
          <w:p>
            <w:pPr>
              <w:ind w:left="100"/>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6"/>
          </w:tcPr>
          <w:p>
            <w:pPr>
              <w:jc w:val="center"/>
              <w:ind w:left="810"/>
              <w:spacing w:after="0"/>
              <w:rPr>
                <w:sz w:val="20"/>
                <w:szCs w:val="20"/>
                <w:color w:val="auto"/>
              </w:rPr>
            </w:pPr>
            <w:r>
              <w:rPr>
                <w:rFonts w:ascii="Arial" w:cs="Arial" w:eastAsia="Arial" w:hAnsi="Arial"/>
                <w:sz w:val="18"/>
                <w:szCs w:val="18"/>
                <w:color w:val="auto"/>
                <w:w w:val="90"/>
              </w:rPr>
              <w:t>29/03/2018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6"/>
          </w:tcPr>
          <w:p>
            <w:pPr>
              <w:jc w:val="center"/>
              <w:ind w:left="1311"/>
              <w:spacing w:after="0" w:line="256" w:lineRule="exact"/>
              <w:rPr>
                <w:sz w:val="20"/>
                <w:szCs w:val="20"/>
                <w:color w:val="auto"/>
              </w:rPr>
            </w:pPr>
            <w:r>
              <w:rPr>
                <w:rFonts w:ascii="Arial" w:cs="Arial" w:eastAsia="Arial" w:hAnsi="Arial"/>
                <w:sz w:val="18"/>
                <w:szCs w:val="18"/>
                <w:color w:val="auto"/>
                <w:w w:val="91"/>
              </w:rPr>
              <w:t>2,001</w:t>
            </w:r>
            <w:r>
              <w:rPr>
                <w:rFonts w:ascii="Arial" w:cs="Arial" w:eastAsia="Arial" w:hAnsi="Arial"/>
                <w:sz w:val="29"/>
                <w:szCs w:val="29"/>
                <w:color w:val="auto"/>
                <w:w w:val="91"/>
                <w:vertAlign w:val="superscript"/>
              </w:rPr>
              <w:t>*</w:t>
            </w:r>
          </w:p>
        </w:tc>
        <w:tc>
          <w:tcPr>
            <w:tcW w:w="380" w:type="dxa"/>
            <w:vAlign w:val="bottom"/>
          </w:tcPr>
          <w:p>
            <w:pPr>
              <w:spacing w:after="0"/>
              <w:rPr>
                <w:sz w:val="22"/>
                <w:szCs w:val="22"/>
                <w:color w:val="auto"/>
              </w:rPr>
            </w:pPr>
          </w:p>
        </w:tc>
        <w:tc>
          <w:tcPr>
            <w:tcW w:w="2340" w:type="dxa"/>
            <w:vAlign w:val="bottom"/>
            <w:gridSpan w:val="2"/>
          </w:tcPr>
          <w:p>
            <w:pPr>
              <w:jc w:val="center"/>
              <w:ind w:left="1290"/>
              <w:spacing w:after="0"/>
              <w:rPr>
                <w:sz w:val="20"/>
                <w:szCs w:val="20"/>
                <w:color w:val="auto"/>
              </w:rPr>
            </w:pPr>
            <w:r>
              <w:rPr>
                <w:rFonts w:ascii="Arial" w:cs="Arial" w:eastAsia="Arial" w:hAnsi="Arial"/>
                <w:sz w:val="18"/>
                <w:szCs w:val="18"/>
                <w:color w:val="auto"/>
                <w:w w:val="91"/>
              </w:rPr>
              <w:t>5.60</w:t>
            </w:r>
          </w:p>
        </w:tc>
        <w:tc>
          <w:tcPr>
            <w:tcW w:w="940" w:type="dxa"/>
            <w:vAlign w:val="bottom"/>
          </w:tcPr>
          <w:p>
            <w:pPr>
              <w:spacing w:after="0"/>
              <w:rPr>
                <w:sz w:val="22"/>
                <w:szCs w:val="22"/>
                <w:color w:val="auto"/>
              </w:rPr>
            </w:pPr>
          </w:p>
        </w:tc>
      </w:tr>
      <w:tr>
        <w:trPr>
          <w:trHeight w:val="257"/>
        </w:trPr>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6"/>
            <w:shd w:val="clear" w:color="auto" w:fill="CCEEFF"/>
          </w:tcPr>
          <w:p>
            <w:pPr>
              <w:jc w:val="center"/>
              <w:ind w:left="810"/>
              <w:spacing w:after="0"/>
              <w:rPr>
                <w:sz w:val="20"/>
                <w:szCs w:val="20"/>
                <w:color w:val="auto"/>
              </w:rPr>
            </w:pPr>
            <w:r>
              <w:rPr>
                <w:rFonts w:ascii="Arial" w:cs="Arial" w:eastAsia="Arial" w:hAnsi="Arial"/>
                <w:sz w:val="18"/>
                <w:szCs w:val="18"/>
                <w:color w:val="auto"/>
                <w:w w:val="90"/>
              </w:rPr>
              <w:t>04/04/2018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40" w:type="dxa"/>
            <w:vAlign w:val="bottom"/>
            <w:gridSpan w:val="6"/>
            <w:shd w:val="clear" w:color="auto" w:fill="CCEEFF"/>
          </w:tcPr>
          <w:p>
            <w:pPr>
              <w:jc w:val="center"/>
              <w:ind w:left="1311"/>
              <w:spacing w:after="0" w:line="256" w:lineRule="exact"/>
              <w:rPr>
                <w:sz w:val="20"/>
                <w:szCs w:val="20"/>
                <w:color w:val="auto"/>
              </w:rPr>
            </w:pPr>
            <w:r>
              <w:rPr>
                <w:rFonts w:ascii="Arial" w:cs="Arial" w:eastAsia="Arial" w:hAnsi="Arial"/>
                <w:sz w:val="18"/>
                <w:szCs w:val="18"/>
                <w:color w:val="auto"/>
                <w:w w:val="91"/>
              </w:rPr>
              <w:t>4,750</w:t>
            </w:r>
            <w:r>
              <w:rPr>
                <w:rFonts w:ascii="Arial" w:cs="Arial" w:eastAsia="Arial" w:hAnsi="Arial"/>
                <w:sz w:val="29"/>
                <w:szCs w:val="29"/>
                <w:color w:val="auto"/>
                <w:w w:val="91"/>
                <w:vertAlign w:val="superscript"/>
              </w:rPr>
              <w:t>*</w:t>
            </w:r>
          </w:p>
        </w:tc>
        <w:tc>
          <w:tcPr>
            <w:tcW w:w="38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91"/>
              </w:rPr>
              <w:t>5.17</w:t>
            </w:r>
          </w:p>
        </w:tc>
        <w:tc>
          <w:tcPr>
            <w:tcW w:w="940" w:type="dxa"/>
            <w:vAlign w:val="bottom"/>
            <w:shd w:val="clear" w:color="auto" w:fill="CCEEFF"/>
          </w:tcPr>
          <w:p>
            <w:pPr>
              <w:spacing w:after="0"/>
              <w:rPr>
                <w:sz w:val="22"/>
                <w:szCs w:val="22"/>
                <w:color w:val="auto"/>
              </w:rPr>
            </w:pPr>
          </w:p>
        </w:tc>
      </w:tr>
      <w:tr>
        <w:trPr>
          <w:trHeight w:val="216"/>
        </w:trPr>
        <w:tc>
          <w:tcPr>
            <w:tcW w:w="2860" w:type="dxa"/>
            <w:vAlign w:val="bottom"/>
            <w:gridSpan w:val="3"/>
          </w:tcPr>
          <w:p>
            <w:pPr>
              <w:ind w:left="100"/>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6"/>
          </w:tcPr>
          <w:p>
            <w:pPr>
              <w:jc w:val="center"/>
              <w:ind w:left="810"/>
              <w:spacing w:after="0"/>
              <w:rPr>
                <w:sz w:val="20"/>
                <w:szCs w:val="20"/>
                <w:color w:val="auto"/>
              </w:rPr>
            </w:pPr>
            <w:r>
              <w:rPr>
                <w:rFonts w:ascii="Arial" w:cs="Arial" w:eastAsia="Arial" w:hAnsi="Arial"/>
                <w:sz w:val="18"/>
                <w:szCs w:val="18"/>
                <w:color w:val="auto"/>
                <w:w w:val="90"/>
              </w:rPr>
              <w:t>26/04/2018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gridSpan w:val="5"/>
          </w:tcPr>
          <w:p>
            <w:pPr>
              <w:jc w:val="center"/>
              <w:ind w:left="1731"/>
              <w:spacing w:after="0"/>
              <w:rPr>
                <w:sz w:val="20"/>
                <w:szCs w:val="20"/>
                <w:color w:val="auto"/>
              </w:rPr>
            </w:pPr>
            <w:r>
              <w:rPr>
                <w:rFonts w:ascii="Arial" w:cs="Arial" w:eastAsia="Arial" w:hAnsi="Arial"/>
                <w:sz w:val="18"/>
                <w:szCs w:val="18"/>
                <w:color w:val="auto"/>
                <w:w w:val="88"/>
              </w:rPr>
              <w:t>6,710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jc w:val="center"/>
              <w:ind w:left="1290"/>
              <w:spacing w:after="0"/>
              <w:rPr>
                <w:sz w:val="20"/>
                <w:szCs w:val="20"/>
                <w:color w:val="auto"/>
              </w:rPr>
            </w:pPr>
            <w:r>
              <w:rPr>
                <w:rFonts w:ascii="Arial" w:cs="Arial" w:eastAsia="Arial" w:hAnsi="Arial"/>
                <w:sz w:val="18"/>
                <w:szCs w:val="18"/>
                <w:color w:val="auto"/>
                <w:w w:val="91"/>
              </w:rPr>
              <w:t>5.10</w:t>
            </w:r>
          </w:p>
        </w:tc>
        <w:tc>
          <w:tcPr>
            <w:tcW w:w="940" w:type="dxa"/>
            <w:vAlign w:val="bottom"/>
          </w:tcPr>
          <w:p>
            <w:pPr>
              <w:spacing w:after="0"/>
              <w:rPr>
                <w:sz w:val="18"/>
                <w:szCs w:val="18"/>
                <w:color w:val="auto"/>
              </w:rPr>
            </w:pPr>
          </w:p>
        </w:tc>
      </w:tr>
      <w:tr>
        <w:trPr>
          <w:trHeight w:val="216"/>
        </w:trPr>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6"/>
            <w:shd w:val="clear" w:color="auto" w:fill="CCEEFF"/>
          </w:tcPr>
          <w:p>
            <w:pPr>
              <w:jc w:val="center"/>
              <w:ind w:left="810"/>
              <w:spacing w:after="0"/>
              <w:rPr>
                <w:sz w:val="20"/>
                <w:szCs w:val="20"/>
                <w:color w:val="auto"/>
              </w:rPr>
            </w:pPr>
            <w:r>
              <w:rPr>
                <w:rFonts w:ascii="Arial" w:cs="Arial" w:eastAsia="Arial" w:hAnsi="Arial"/>
                <w:sz w:val="18"/>
                <w:szCs w:val="18"/>
                <w:color w:val="auto"/>
                <w:w w:val="90"/>
              </w:rPr>
              <w:t>27/04/2018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20" w:type="dxa"/>
            <w:vAlign w:val="bottom"/>
            <w:gridSpan w:val="5"/>
            <w:shd w:val="clear" w:color="auto" w:fill="CCEEFF"/>
          </w:tcPr>
          <w:p>
            <w:pPr>
              <w:jc w:val="center"/>
              <w:ind w:left="1751"/>
              <w:spacing w:after="0"/>
              <w:rPr>
                <w:sz w:val="20"/>
                <w:szCs w:val="20"/>
                <w:color w:val="auto"/>
              </w:rPr>
            </w:pPr>
            <w:r>
              <w:rPr>
                <w:rFonts w:ascii="Arial" w:cs="Arial" w:eastAsia="Arial" w:hAnsi="Arial"/>
                <w:sz w:val="18"/>
                <w:szCs w:val="18"/>
                <w:color w:val="auto"/>
                <w:w w:val="86"/>
              </w:rPr>
              <w:t>100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91"/>
              </w:rPr>
              <w:t>5.02</w:t>
            </w:r>
          </w:p>
        </w:tc>
        <w:tc>
          <w:tcPr>
            <w:tcW w:w="940" w:type="dxa"/>
            <w:vAlign w:val="bottom"/>
            <w:shd w:val="clear" w:color="auto" w:fill="CCEEFF"/>
          </w:tcPr>
          <w:p>
            <w:pPr>
              <w:spacing w:after="0"/>
              <w:rPr>
                <w:sz w:val="18"/>
                <w:szCs w:val="18"/>
                <w:color w:val="auto"/>
              </w:rPr>
            </w:pPr>
          </w:p>
        </w:tc>
      </w:tr>
      <w:tr>
        <w:trPr>
          <w:trHeight w:val="608"/>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gridSpan w:val="14"/>
          </w:tcPr>
          <w:p>
            <w:pPr>
              <w:jc w:val="center"/>
              <w:ind w:right="500"/>
              <w:spacing w:after="0"/>
              <w:rPr>
                <w:sz w:val="20"/>
                <w:szCs w:val="20"/>
                <w:color w:val="auto"/>
              </w:rPr>
            </w:pPr>
            <w:r>
              <w:rPr>
                <w:rFonts w:ascii="Arial" w:cs="Arial" w:eastAsia="Arial" w:hAnsi="Arial"/>
                <w:sz w:val="18"/>
                <w:szCs w:val="18"/>
                <w:b w:val="1"/>
                <w:bCs w:val="1"/>
                <w:color w:val="auto"/>
              </w:rPr>
              <w:t>EXODUS MANAGEMENT ISRAEL LTD</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7"/>
        </w:trPr>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6"/>
            <w:shd w:val="clear" w:color="auto" w:fill="CCEEFF"/>
          </w:tcPr>
          <w:p>
            <w:pPr>
              <w:jc w:val="center"/>
              <w:ind w:left="810"/>
              <w:spacing w:after="0"/>
              <w:rPr>
                <w:sz w:val="20"/>
                <w:szCs w:val="20"/>
                <w:color w:val="auto"/>
              </w:rPr>
            </w:pPr>
            <w:r>
              <w:rPr>
                <w:rFonts w:ascii="Arial" w:cs="Arial" w:eastAsia="Arial" w:hAnsi="Arial"/>
                <w:sz w:val="18"/>
                <w:szCs w:val="18"/>
                <w:color w:val="auto"/>
                <w:w w:val="90"/>
              </w:rPr>
              <w:t>13/03/2018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40" w:type="dxa"/>
            <w:vAlign w:val="bottom"/>
            <w:gridSpan w:val="6"/>
            <w:shd w:val="clear" w:color="auto" w:fill="CCEEFF"/>
          </w:tcPr>
          <w:p>
            <w:pPr>
              <w:jc w:val="center"/>
              <w:ind w:left="1311"/>
              <w:spacing w:after="0" w:line="256" w:lineRule="exact"/>
              <w:rPr>
                <w:sz w:val="20"/>
                <w:szCs w:val="20"/>
                <w:color w:val="auto"/>
              </w:rPr>
            </w:pPr>
            <w:r>
              <w:rPr>
                <w:rFonts w:ascii="Arial" w:cs="Arial" w:eastAsia="Arial" w:hAnsi="Arial"/>
                <w:sz w:val="18"/>
                <w:szCs w:val="18"/>
                <w:color w:val="auto"/>
                <w:w w:val="91"/>
              </w:rPr>
              <w:t>8,000</w:t>
            </w:r>
            <w:r>
              <w:rPr>
                <w:rFonts w:ascii="Arial" w:cs="Arial" w:eastAsia="Arial" w:hAnsi="Arial"/>
                <w:sz w:val="29"/>
                <w:szCs w:val="29"/>
                <w:color w:val="auto"/>
                <w:w w:val="91"/>
                <w:vertAlign w:val="superscript"/>
              </w:rPr>
              <w:t>*</w:t>
            </w:r>
          </w:p>
        </w:tc>
        <w:tc>
          <w:tcPr>
            <w:tcW w:w="38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91"/>
              </w:rPr>
              <w:t>6.00</w:t>
            </w:r>
          </w:p>
        </w:tc>
        <w:tc>
          <w:tcPr>
            <w:tcW w:w="940" w:type="dxa"/>
            <w:vAlign w:val="bottom"/>
            <w:shd w:val="clear" w:color="auto" w:fill="CCEEFF"/>
          </w:tcPr>
          <w:p>
            <w:pPr>
              <w:spacing w:after="0"/>
              <w:rPr>
                <w:sz w:val="22"/>
                <w:szCs w:val="22"/>
                <w:color w:val="auto"/>
              </w:rPr>
            </w:pPr>
          </w:p>
        </w:tc>
      </w:tr>
      <w:tr>
        <w:trPr>
          <w:trHeight w:val="392"/>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gridSpan w:val="9"/>
          </w:tcPr>
          <w:p>
            <w:pPr>
              <w:jc w:val="center"/>
              <w:ind w:right="1700"/>
              <w:spacing w:after="0"/>
              <w:rPr>
                <w:sz w:val="20"/>
                <w:szCs w:val="20"/>
                <w:color w:val="auto"/>
              </w:rPr>
            </w:pPr>
            <w:r>
              <w:rPr>
                <w:rFonts w:ascii="Arial" w:cs="Arial" w:eastAsia="Arial" w:hAnsi="Arial"/>
                <w:sz w:val="18"/>
                <w:szCs w:val="18"/>
                <w:b w:val="1"/>
                <w:bCs w:val="1"/>
                <w:color w:val="auto"/>
              </w:rPr>
              <w:t>AHARON BIRAM</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7"/>
        </w:trPr>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6"/>
            <w:shd w:val="clear" w:color="auto" w:fill="CCEEFF"/>
          </w:tcPr>
          <w:p>
            <w:pPr>
              <w:jc w:val="center"/>
              <w:ind w:left="810"/>
              <w:spacing w:after="0"/>
              <w:rPr>
                <w:sz w:val="20"/>
                <w:szCs w:val="20"/>
                <w:color w:val="auto"/>
              </w:rPr>
            </w:pPr>
            <w:r>
              <w:rPr>
                <w:rFonts w:ascii="Arial" w:cs="Arial" w:eastAsia="Arial" w:hAnsi="Arial"/>
                <w:sz w:val="18"/>
                <w:szCs w:val="18"/>
                <w:color w:val="auto"/>
                <w:w w:val="90"/>
              </w:rPr>
              <w:t>13/03/2018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40" w:type="dxa"/>
            <w:vAlign w:val="bottom"/>
            <w:gridSpan w:val="6"/>
            <w:shd w:val="clear" w:color="auto" w:fill="CCEEFF"/>
          </w:tcPr>
          <w:p>
            <w:pPr>
              <w:jc w:val="center"/>
              <w:ind w:left="1331"/>
              <w:spacing w:after="0" w:line="256" w:lineRule="exact"/>
              <w:rPr>
                <w:sz w:val="20"/>
                <w:szCs w:val="20"/>
                <w:color w:val="auto"/>
              </w:rPr>
            </w:pPr>
            <w:r>
              <w:rPr>
                <w:rFonts w:ascii="Arial" w:cs="Arial" w:eastAsia="Arial" w:hAnsi="Arial"/>
                <w:sz w:val="18"/>
                <w:szCs w:val="18"/>
                <w:color w:val="auto"/>
                <w:w w:val="92"/>
              </w:rPr>
              <w:t>10,000</w:t>
            </w:r>
            <w:r>
              <w:rPr>
                <w:rFonts w:ascii="Arial" w:cs="Arial" w:eastAsia="Arial" w:hAnsi="Arial"/>
                <w:sz w:val="29"/>
                <w:szCs w:val="29"/>
                <w:color w:val="auto"/>
                <w:w w:val="92"/>
                <w:vertAlign w:val="superscript"/>
              </w:rPr>
              <w:t>*</w:t>
            </w:r>
          </w:p>
        </w:tc>
        <w:tc>
          <w:tcPr>
            <w:tcW w:w="38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91"/>
              </w:rPr>
              <w:t>6.00</w:t>
            </w:r>
          </w:p>
        </w:tc>
        <w:tc>
          <w:tcPr>
            <w:tcW w:w="940" w:type="dxa"/>
            <w:vAlign w:val="bottom"/>
            <w:shd w:val="clear" w:color="auto" w:fill="CCEEFF"/>
          </w:tcPr>
          <w:p>
            <w:pPr>
              <w:spacing w:after="0"/>
              <w:rPr>
                <w:sz w:val="22"/>
                <w:szCs w:val="22"/>
                <w:color w:val="auto"/>
              </w:rPr>
            </w:pPr>
          </w:p>
        </w:tc>
      </w:tr>
      <w:tr>
        <w:trPr>
          <w:trHeight w:val="392"/>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20" w:type="dxa"/>
            <w:vAlign w:val="bottom"/>
            <w:gridSpan w:val="11"/>
          </w:tcPr>
          <w:p>
            <w:pPr>
              <w:jc w:val="center"/>
              <w:ind w:right="1540"/>
              <w:spacing w:after="0"/>
              <w:rPr>
                <w:sz w:val="20"/>
                <w:szCs w:val="20"/>
                <w:color w:val="auto"/>
              </w:rPr>
            </w:pPr>
            <w:r>
              <w:rPr>
                <w:rFonts w:ascii="Arial" w:cs="Arial" w:eastAsia="Arial" w:hAnsi="Arial"/>
                <w:sz w:val="18"/>
                <w:szCs w:val="18"/>
                <w:b w:val="1"/>
                <w:bCs w:val="1"/>
                <w:color w:val="auto"/>
                <w:w w:val="98"/>
              </w:rPr>
              <w:t>ESTER DEUTSCH</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7"/>
        </w:trPr>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6"/>
            <w:shd w:val="clear" w:color="auto" w:fill="CCEEFF"/>
          </w:tcPr>
          <w:p>
            <w:pPr>
              <w:jc w:val="center"/>
              <w:ind w:left="810"/>
              <w:spacing w:after="0"/>
              <w:rPr>
                <w:sz w:val="20"/>
                <w:szCs w:val="20"/>
                <w:color w:val="auto"/>
              </w:rPr>
            </w:pPr>
            <w:r>
              <w:rPr>
                <w:rFonts w:ascii="Arial" w:cs="Arial" w:eastAsia="Arial" w:hAnsi="Arial"/>
                <w:sz w:val="18"/>
                <w:szCs w:val="18"/>
                <w:color w:val="auto"/>
                <w:w w:val="90"/>
              </w:rPr>
              <w:t>13/03/2018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40" w:type="dxa"/>
            <w:vAlign w:val="bottom"/>
            <w:gridSpan w:val="6"/>
            <w:shd w:val="clear" w:color="auto" w:fill="CCEEFF"/>
          </w:tcPr>
          <w:p>
            <w:pPr>
              <w:jc w:val="center"/>
              <w:ind w:left="1331"/>
              <w:spacing w:after="0" w:line="256" w:lineRule="exact"/>
              <w:rPr>
                <w:sz w:val="20"/>
                <w:szCs w:val="20"/>
                <w:color w:val="auto"/>
              </w:rPr>
            </w:pPr>
            <w:r>
              <w:rPr>
                <w:rFonts w:ascii="Arial" w:cs="Arial" w:eastAsia="Arial" w:hAnsi="Arial"/>
                <w:sz w:val="18"/>
                <w:szCs w:val="18"/>
                <w:color w:val="auto"/>
                <w:w w:val="92"/>
              </w:rPr>
              <w:t>10,000</w:t>
            </w:r>
            <w:r>
              <w:rPr>
                <w:rFonts w:ascii="Arial" w:cs="Arial" w:eastAsia="Arial" w:hAnsi="Arial"/>
                <w:sz w:val="29"/>
                <w:szCs w:val="29"/>
                <w:color w:val="auto"/>
                <w:w w:val="92"/>
                <w:vertAlign w:val="superscript"/>
              </w:rPr>
              <w:t>*</w:t>
            </w:r>
          </w:p>
        </w:tc>
        <w:tc>
          <w:tcPr>
            <w:tcW w:w="38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91"/>
              </w:rPr>
              <w:t>6.00</w:t>
            </w:r>
          </w:p>
        </w:tc>
        <w:tc>
          <w:tcPr>
            <w:tcW w:w="94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Represents Shares that were included in the Reporting Persons’ beneficial ownership reported in the Schedule 13G filed on April 9, 2018.</w:t>
      </w:r>
    </w:p>
    <w:p>
      <w:pPr>
        <w:sectPr>
          <w:pgSz w:w="11900" w:h="16838" w:orient="portrait"/>
          <w:cols w:equalWidth="0" w:num="1">
            <w:col w:w="11420"/>
          </w:cols>
          <w:pgMar w:left="240" w:top="226"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Rule 13d-1(k)(1)(iii) under the Securities Exchange Act of 1934, as amended, the persons named below agree to the joint filing on behalf of each of them of a Statement on Schedule 13D (including amendments thereto) with respect to the shares of Ordinary Shares, par value NIS 0.07, of Arcturus Therapeutics Ltd., an Israeli corporation. This Joint Filing Agreement shall be filed as an Exhibit to such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2018</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BROSH CAPITAL PARTNERS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Individually, and as attorney-in-fact for Aharon Biram and Ester Deutsch</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decimal"/>
      <w:start w:val="14"/>
    </w:lvl>
  </w:abstractNum>
  <w:abstractNum w:abstractNumId="3">
    <w:nsid w:val="41B71EFB"/>
    <w:multiLevelType w:val="hybridMultilevel"/>
    <w:lvl w:ilvl="0">
      <w:lvlJc w:val="left"/>
      <w:lvlText w:val="(%1)"/>
      <w:numFmt w:val="lowerLetter"/>
      <w:start w:val="1"/>
    </w:lvl>
    <w:lvl w:ilvl="1">
      <w:lvlJc w:val="left"/>
      <w:lvlText w:val="(%2)"/>
      <w:numFmt w:val="lowerRoman"/>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10"/>
    </w:lvl>
  </w:abstractNum>
  <w:abstractNum w:abstractNumId="7">
    <w:nsid w:val="5BD062C2"/>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8">
    <w:nsid w:val="12200854"/>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2019-12-08T04:54:25Z</dcterms:created>
  <dcterms:modified xsi:type="dcterms:W3CDTF">2019-12-08T04:54:25Z</dcterms:modified>
</cp:coreProperties>
</file>