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2"/>
          <w:szCs w:val="22"/>
          <w:b w:val="1"/>
          <w:bCs w:val="1"/>
          <w:color w:val="auto"/>
        </w:rPr>
        <w:t>UNITED STATES</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(Rule 13d-102)</w:t>
      </w:r>
    </w:p>
    <w:p>
      <w:pPr>
        <w:spacing w:after="0" w:line="211" w:lineRule="exact"/>
        <w:rPr>
          <w:sz w:val="24"/>
          <w:szCs w:val="24"/>
          <w:color w:val="auto"/>
        </w:rPr>
      </w:pPr>
    </w:p>
    <w:p>
      <w:pPr>
        <w:jc w:val="center"/>
        <w:ind w:left="400" w:right="2700"/>
        <w:spacing w:after="0" w:line="264" w:lineRule="auto"/>
        <w:rPr>
          <w:sz w:val="20"/>
          <w:szCs w:val="20"/>
          <w:color w:val="auto"/>
        </w:rPr>
      </w:pPr>
      <w:r>
        <w:rPr>
          <w:rFonts w:ascii="Arial" w:cs="Arial" w:eastAsia="Arial" w:hAnsi="Arial"/>
          <w:sz w:val="18"/>
          <w:szCs w:val="18"/>
          <w:color w:val="auto"/>
        </w:rPr>
        <w:t>INFORMATION TO BE INCLUDED IN STATEMENTS FILED PURSUANT TO RULES 13d-1(b), (c), AND (d) AND AMENDMENTS THERETO FILED PURSUANT TO RULE 13d-2(b)</w:t>
      </w:r>
    </w:p>
    <w:p>
      <w:pPr>
        <w:spacing w:after="0" w:line="18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(Amendment No.  )</w:t>
      </w:r>
      <w:r>
        <w:rPr>
          <w:rFonts w:ascii="Arial" w:cs="Arial" w:eastAsia="Arial" w:hAnsi="Arial"/>
          <w:sz w:val="30"/>
          <w:szCs w:val="30"/>
          <w:color w:val="auto"/>
          <w:vertAlign w:val="superscript"/>
        </w:rPr>
        <w:t>1</w:t>
      </w:r>
    </w:p>
    <w:p>
      <w:pPr>
        <w:spacing w:after="0" w:line="200" w:lineRule="exact"/>
        <w:rPr>
          <w:sz w:val="24"/>
          <w:szCs w:val="24"/>
          <w:color w:val="auto"/>
        </w:rPr>
      </w:pPr>
    </w:p>
    <w:p>
      <w:pPr>
        <w:spacing w:after="0" w:line="383"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Arcturus Therapeutics Ltd</w:t>
      </w:r>
    </w:p>
    <w:p>
      <w:pPr>
        <w:spacing w:after="0" w:line="23" w:lineRule="exact"/>
        <w:rPr>
          <w:sz w:val="24"/>
          <w:szCs w:val="24"/>
          <w:color w:val="auto"/>
        </w:rPr>
      </w:pPr>
    </w:p>
    <w:p>
      <w:pPr>
        <w:ind w:left="5120"/>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Ordinary Shares, par value of NIS 0.07</w:t>
      </w:r>
    </w:p>
    <w:p>
      <w:pPr>
        <w:spacing w:after="0" w:line="23"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ind w:left="5260"/>
        <w:spacing w:after="0"/>
        <w:rPr>
          <w:sz w:val="20"/>
          <w:szCs w:val="20"/>
          <w:color w:val="auto"/>
        </w:rPr>
      </w:pPr>
      <w:r>
        <w:rPr>
          <w:rFonts w:ascii="Arial" w:cs="Arial" w:eastAsia="Arial" w:hAnsi="Arial"/>
          <w:sz w:val="18"/>
          <w:szCs w:val="18"/>
          <w:color w:val="auto"/>
        </w:rPr>
        <w:t>M1492T105</w:t>
      </w:r>
    </w:p>
    <w:p>
      <w:pPr>
        <w:spacing w:after="0" w:line="23"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June 11, 2018</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980" w:hanging="346"/>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980" w:hanging="346"/>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980" w:hanging="346"/>
        <w:spacing w:after="0"/>
        <w:tabs>
          <w:tab w:leader="none" w:pos="9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735330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40" w:firstLine="8"/>
        <w:spacing w:after="0"/>
        <w:tabs>
          <w:tab w:leader="none" w:pos="815" w:val="left"/>
        </w:tabs>
        <w:numPr>
          <w:ilvl w:val="0"/>
          <w:numId w:val="4"/>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0" w:right="37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M1492T105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08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Brosh Capital Partners, L.P.</w:t>
            </w: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4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8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08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1"/>
              </w:rPr>
              <w:t>Cayman Islands</w:t>
            </w:r>
          </w:p>
        </w:tc>
        <w:tc>
          <w:tcPr>
            <w:tcW w:w="60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60" w:type="dxa"/>
            <w:vAlign w:val="bottom"/>
          </w:tcPr>
          <w:p>
            <w:pPr>
              <w:spacing w:after="0"/>
              <w:rPr>
                <w:sz w:val="16"/>
                <w:szCs w:val="16"/>
                <w:color w:val="auto"/>
              </w:rPr>
            </w:pPr>
          </w:p>
        </w:tc>
        <w:tc>
          <w:tcPr>
            <w:tcW w:w="60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8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6</w:t>
            </w:r>
          </w:p>
        </w:tc>
        <w:tc>
          <w:tcPr>
            <w:tcW w:w="60" w:type="dxa"/>
            <w:vAlign w:val="bottom"/>
          </w:tcPr>
          <w:p>
            <w:pPr>
              <w:spacing w:after="0"/>
              <w:rPr>
                <w:sz w:val="16"/>
                <w:szCs w:val="16"/>
                <w:color w:val="auto"/>
              </w:rPr>
            </w:pPr>
          </w:p>
        </w:tc>
        <w:tc>
          <w:tcPr>
            <w:tcW w:w="60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453,863</w:t>
            </w:r>
          </w:p>
        </w:tc>
        <w:tc>
          <w:tcPr>
            <w:tcW w:w="18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9"/>
                <w:szCs w:val="19"/>
                <w:color w:val="auto"/>
              </w:rPr>
            </w:pPr>
          </w:p>
        </w:tc>
        <w:tc>
          <w:tcPr>
            <w:tcW w:w="60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9"/>
                <w:szCs w:val="19"/>
                <w:color w:val="auto"/>
              </w:rPr>
            </w:pPr>
          </w:p>
        </w:tc>
        <w:tc>
          <w:tcPr>
            <w:tcW w:w="60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453,863</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453,863</w:t>
            </w:r>
          </w:p>
        </w:tc>
        <w:tc>
          <w:tcPr>
            <w:tcW w:w="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4.2%</w:t>
            </w:r>
          </w:p>
        </w:tc>
        <w:tc>
          <w:tcPr>
            <w:tcW w:w="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0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2</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M1492T105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4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Exodus Management Israel Ltd.</w:t>
            </w: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40" w:type="dxa"/>
            <w:vAlign w:val="bottom"/>
            <w:gridSpan w:val="2"/>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4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14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Israel</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18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6</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487,048</w:t>
            </w:r>
          </w:p>
        </w:tc>
        <w:tc>
          <w:tcPr>
            <w:tcW w:w="18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61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61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487,048</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487,048</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4.6%</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CO</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ind w:left="2180"/>
              <w:spacing w:after="0"/>
              <w:rPr>
                <w:sz w:val="20"/>
                <w:szCs w:val="20"/>
                <w:color w:val="auto"/>
              </w:rPr>
            </w:pPr>
            <w:r>
              <w:rPr>
                <w:rFonts w:ascii="Arial" w:cs="Arial" w:eastAsia="Arial" w:hAnsi="Arial"/>
                <w:sz w:val="18"/>
                <w:szCs w:val="18"/>
                <w:color w:val="auto"/>
              </w:rPr>
              <w:t>3</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M1492T105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4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Amir Efrati</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40" w:type="dxa"/>
            <w:vAlign w:val="bottom"/>
            <w:gridSpan w:val="2"/>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4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14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Israel</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18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6</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569,179</w:t>
            </w:r>
          </w:p>
        </w:tc>
        <w:tc>
          <w:tcPr>
            <w:tcW w:w="18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61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61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569,179</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569,179</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5.3%</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IN</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ind w:left="2180"/>
              <w:spacing w:after="0"/>
              <w:rPr>
                <w:sz w:val="20"/>
                <w:szCs w:val="20"/>
                <w:color w:val="auto"/>
              </w:rPr>
            </w:pPr>
            <w:r>
              <w:rPr>
                <w:rFonts w:ascii="Arial" w:cs="Arial" w:eastAsia="Arial" w:hAnsi="Arial"/>
                <w:sz w:val="18"/>
                <w:szCs w:val="18"/>
                <w:color w:val="auto"/>
              </w:rPr>
              <w:t>4</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M1492T105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4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99"/>
              </w:rPr>
              <w:t>Aharon Biram</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40" w:type="dxa"/>
            <w:vAlign w:val="bottom"/>
            <w:gridSpan w:val="2"/>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4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14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Israel</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18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41,071</w:t>
            </w:r>
          </w:p>
        </w:tc>
        <w:tc>
          <w:tcPr>
            <w:tcW w:w="18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41,071</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41,071</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Less than 1%</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IN</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ind w:left="2180"/>
              <w:spacing w:after="0"/>
              <w:rPr>
                <w:sz w:val="20"/>
                <w:szCs w:val="20"/>
                <w:color w:val="auto"/>
              </w:rPr>
            </w:pPr>
            <w:r>
              <w:rPr>
                <w:rFonts w:ascii="Arial" w:cs="Arial" w:eastAsia="Arial" w:hAnsi="Arial"/>
                <w:sz w:val="18"/>
                <w:szCs w:val="18"/>
                <w:color w:val="auto"/>
              </w:rPr>
              <w:t>5</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M1492T105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4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97"/>
              </w:rPr>
              <w:t>Ester Deutsch</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40" w:type="dxa"/>
            <w:vAlign w:val="bottom"/>
            <w:gridSpan w:val="2"/>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4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14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Israel</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18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41,060</w:t>
            </w:r>
          </w:p>
        </w:tc>
        <w:tc>
          <w:tcPr>
            <w:tcW w:w="18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41,060</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41,060</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Less than 1%</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IN</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ind w:left="2180"/>
              <w:spacing w:after="0"/>
              <w:rPr>
                <w:sz w:val="20"/>
                <w:szCs w:val="20"/>
                <w:color w:val="auto"/>
              </w:rPr>
            </w:pPr>
            <w:r>
              <w:rPr>
                <w:rFonts w:ascii="Arial" w:cs="Arial" w:eastAsia="Arial" w:hAnsi="Arial"/>
                <w:sz w:val="18"/>
                <w:szCs w:val="18"/>
                <w:color w:val="auto"/>
              </w:rPr>
              <w:t>6</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M1492T105</w:t>
      </w:r>
    </w:p>
    <w:p>
      <w:pPr>
        <w:spacing w:after="0" w:line="3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Reporting Persons (as defined below) initially filed a Schedule 13G with respect to the securities of the Issuer (as defined below) on April 9, 2018. Subsequently, the Reporting Persons’ investment intent changed with respect to the securities of the Issuer and the Reporting Persons filed a Schedule 13D on April 30, 2018, in accordance with Rule 13d-1(e) of the Securities Exchange Act of 1934, as amended (the “Exchange Act”). As of June 11, 2018, the Reporting Persons no longer hold securities of the Issuer with a purpose or effect of changing or influencing control of the Issuer, or in connection with or as a participant in any transaction having that purpose or effect. Accordingly, the Reporting Persons are transitioning back to a Schedule 13G pursuant to Rule 13d-1(c) of the Exchange Act.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10400" w:type="dxa"/>
            <w:vAlign w:val="bottom"/>
          </w:tcPr>
          <w:p>
            <w:pPr>
              <w:ind w:left="280"/>
              <w:spacing w:after="0"/>
              <w:rPr>
                <w:sz w:val="20"/>
                <w:szCs w:val="20"/>
                <w:color w:val="auto"/>
              </w:rPr>
            </w:pPr>
            <w:r>
              <w:rPr>
                <w:rFonts w:ascii="Arial" w:cs="Arial" w:eastAsia="Arial" w:hAnsi="Arial"/>
                <w:sz w:val="18"/>
                <w:szCs w:val="18"/>
                <w:color w:val="auto"/>
              </w:rPr>
              <w:t>Name of Issuer:</w:t>
            </w:r>
          </w:p>
        </w:tc>
      </w:tr>
      <w:tr>
        <w:trPr>
          <w:trHeight w:val="432"/>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Arcturus Therapeutics Ltd., an Israeli corporation (the “Issuer”).</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1(b).</w:t>
            </w:r>
          </w:p>
        </w:tc>
        <w:tc>
          <w:tcPr>
            <w:tcW w:w="10400" w:type="dxa"/>
            <w:vAlign w:val="bottom"/>
          </w:tcPr>
          <w:p>
            <w:pPr>
              <w:ind w:left="280"/>
              <w:spacing w:after="0"/>
              <w:rPr>
                <w:sz w:val="20"/>
                <w:szCs w:val="20"/>
                <w:color w:val="auto"/>
              </w:rPr>
            </w:pPr>
            <w:r>
              <w:rPr>
                <w:rFonts w:ascii="Arial" w:cs="Arial" w:eastAsia="Arial" w:hAnsi="Arial"/>
                <w:sz w:val="18"/>
                <w:szCs w:val="18"/>
                <w:color w:val="auto"/>
              </w:rPr>
              <w:t>Address of Issuer's Principal Executive Offices:</w:t>
            </w:r>
          </w:p>
        </w:tc>
      </w:tr>
      <w:tr>
        <w:trPr>
          <w:trHeight w:val="418"/>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10628 Science Center Drive, Suite 200</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San Diego, California 92121</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Item 2(a).</w:t>
            </w:r>
          </w:p>
        </w:tc>
        <w:tc>
          <w:tcPr>
            <w:tcW w:w="10400" w:type="dxa"/>
            <w:vAlign w:val="bottom"/>
          </w:tcPr>
          <w:p>
            <w:pPr>
              <w:ind w:left="280"/>
              <w:spacing w:after="0"/>
              <w:rPr>
                <w:sz w:val="20"/>
                <w:szCs w:val="20"/>
                <w:color w:val="auto"/>
              </w:rPr>
            </w:pPr>
            <w:r>
              <w:rPr>
                <w:rFonts w:ascii="Arial" w:cs="Arial" w:eastAsia="Arial" w:hAnsi="Arial"/>
                <w:sz w:val="18"/>
                <w:szCs w:val="18"/>
                <w:color w:val="auto"/>
              </w:rPr>
              <w:t>Name of Person Filing</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2(b).</w:t>
            </w:r>
          </w:p>
        </w:tc>
        <w:tc>
          <w:tcPr>
            <w:tcW w:w="10400" w:type="dxa"/>
            <w:vAlign w:val="bottom"/>
          </w:tcPr>
          <w:p>
            <w:pPr>
              <w:ind w:left="280"/>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2(c).</w:t>
            </w: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w:t>
            </w:r>
          </w:p>
        </w:tc>
      </w:tr>
      <w:tr>
        <w:trPr>
          <w:trHeight w:val="418"/>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Brosh Capital Partners, L.P. (“Brosh”)</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4 Ariel Sharon Street</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Givataim, Israel</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Cayman Islands</w:t>
            </w:r>
          </w:p>
        </w:tc>
      </w:tr>
      <w:tr>
        <w:trPr>
          <w:trHeight w:val="418"/>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Exodus Management Israel Ltd. (“Exodus GP”)</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4 Ariel Sharon Street</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Givataim, Israel</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Israel</w:t>
            </w:r>
          </w:p>
        </w:tc>
      </w:tr>
      <w:tr>
        <w:trPr>
          <w:trHeight w:val="418"/>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Amir Efrati (“Mr. Efrati’)</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4 Ariel Sharon Street</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Givataim, Israel</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Israel</w:t>
            </w:r>
          </w:p>
        </w:tc>
      </w:tr>
      <w:tr>
        <w:trPr>
          <w:trHeight w:val="418"/>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Aharon Biram (“Mr. Biram”)</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4 Ariel Sharon Street</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Givataim, Israel</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Israel</w:t>
            </w:r>
          </w:p>
        </w:tc>
      </w:tr>
      <w:tr>
        <w:trPr>
          <w:trHeight w:val="418"/>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Ester Deutsch (“Ms. Deutsch”)</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4 Ariel Sharon Street</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Givataim, Israel</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Israel</w:t>
            </w:r>
          </w:p>
        </w:tc>
      </w:tr>
      <w:tr>
        <w:trPr>
          <w:trHeight w:val="432"/>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Each of the foregoing is referred to as a “Reporting Person” and collectively as the “Reporting Persons.”</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2(d).</w:t>
            </w:r>
          </w:p>
        </w:tc>
        <w:tc>
          <w:tcPr>
            <w:tcW w:w="10400" w:type="dxa"/>
            <w:vAlign w:val="bottom"/>
          </w:tcPr>
          <w:p>
            <w:pPr>
              <w:ind w:left="280"/>
              <w:spacing w:after="0"/>
              <w:rPr>
                <w:sz w:val="20"/>
                <w:szCs w:val="20"/>
                <w:color w:val="auto"/>
              </w:rPr>
            </w:pPr>
            <w:r>
              <w:rPr>
                <w:rFonts w:ascii="Arial" w:cs="Arial" w:eastAsia="Arial" w:hAnsi="Arial"/>
                <w:sz w:val="18"/>
                <w:szCs w:val="18"/>
                <w:color w:val="auto"/>
              </w:rPr>
              <w:t>Title of Class of Securities:</w:t>
            </w:r>
          </w:p>
        </w:tc>
      </w:tr>
      <w:tr>
        <w:trPr>
          <w:trHeight w:val="432"/>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Ordinary Shares, par value of NIS 0.07 (the “Shares”)</w:t>
            </w:r>
          </w:p>
        </w:tc>
      </w:tr>
      <w:tr>
        <w:trPr>
          <w:trHeight w:val="540"/>
        </w:trPr>
        <w:tc>
          <w:tcPr>
            <w:tcW w:w="102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ind w:left="464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420"/>
          </w:cols>
          <w:pgMar w:left="240" w:top="226"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M1492T105</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2(e).</w:t>
            </w:r>
          </w:p>
        </w:tc>
        <w:tc>
          <w:tcPr>
            <w:tcW w:w="1800" w:type="dxa"/>
            <w:vAlign w:val="bottom"/>
            <w:gridSpan w:val="2"/>
          </w:tcPr>
          <w:p>
            <w:pPr>
              <w:ind w:left="280"/>
              <w:spacing w:after="0"/>
              <w:rPr>
                <w:sz w:val="20"/>
                <w:szCs w:val="20"/>
                <w:color w:val="auto"/>
              </w:rPr>
            </w:pPr>
            <w:r>
              <w:rPr>
                <w:rFonts w:ascii="Arial" w:cs="Arial" w:eastAsia="Arial" w:hAnsi="Arial"/>
                <w:sz w:val="18"/>
                <w:szCs w:val="18"/>
                <w:color w:val="auto"/>
              </w:rPr>
              <w:t>CUSIP Number:</w:t>
            </w:r>
          </w:p>
        </w:tc>
        <w:tc>
          <w:tcPr>
            <w:tcW w:w="8500" w:type="dxa"/>
            <w:vAlign w:val="bottom"/>
          </w:tcPr>
          <w:p>
            <w:pPr>
              <w:spacing w:after="0"/>
              <w:rPr>
                <w:sz w:val="20"/>
                <w:szCs w:val="20"/>
                <w:color w:val="auto"/>
              </w:rPr>
            </w:pPr>
          </w:p>
        </w:tc>
      </w:tr>
      <w:tr>
        <w:trPr>
          <w:trHeight w:val="432"/>
        </w:trPr>
        <w:tc>
          <w:tcPr>
            <w:tcW w:w="1020" w:type="dxa"/>
            <w:vAlign w:val="bottom"/>
          </w:tcPr>
          <w:p>
            <w:pPr>
              <w:spacing w:after="0"/>
              <w:rPr>
                <w:sz w:val="24"/>
                <w:szCs w:val="24"/>
                <w:color w:val="auto"/>
              </w:rPr>
            </w:pPr>
          </w:p>
        </w:tc>
        <w:tc>
          <w:tcPr>
            <w:tcW w:w="1220" w:type="dxa"/>
            <w:vAlign w:val="bottom"/>
          </w:tcPr>
          <w:p>
            <w:pPr>
              <w:ind w:left="280"/>
              <w:spacing w:after="0"/>
              <w:rPr>
                <w:sz w:val="20"/>
                <w:szCs w:val="20"/>
                <w:color w:val="auto"/>
              </w:rPr>
            </w:pPr>
            <w:r>
              <w:rPr>
                <w:rFonts w:ascii="Arial" w:cs="Arial" w:eastAsia="Arial" w:hAnsi="Arial"/>
                <w:sz w:val="18"/>
                <w:szCs w:val="18"/>
                <w:color w:val="auto"/>
                <w:w w:val="95"/>
              </w:rPr>
              <w:t>M1492T105</w:t>
            </w:r>
          </w:p>
        </w:tc>
        <w:tc>
          <w:tcPr>
            <w:tcW w:w="580" w:type="dxa"/>
            <w:vAlign w:val="bottom"/>
          </w:tcPr>
          <w:p>
            <w:pPr>
              <w:spacing w:after="0"/>
              <w:rPr>
                <w:sz w:val="24"/>
                <w:szCs w:val="24"/>
                <w:color w:val="auto"/>
              </w:rPr>
            </w:pPr>
          </w:p>
        </w:tc>
        <w:tc>
          <w:tcPr>
            <w:tcW w:w="850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10300" w:type="dxa"/>
            <w:vAlign w:val="bottom"/>
            <w:gridSpan w:val="3"/>
          </w:tcPr>
          <w:p>
            <w:pPr>
              <w:ind w:left="280"/>
              <w:spacing w:after="0"/>
              <w:rPr>
                <w:sz w:val="20"/>
                <w:szCs w:val="20"/>
                <w:color w:val="auto"/>
              </w:rPr>
            </w:pPr>
            <w:r>
              <w:rPr>
                <w:rFonts w:ascii="Arial" w:cs="Arial" w:eastAsia="Arial" w:hAnsi="Arial"/>
                <w:sz w:val="18"/>
                <w:szCs w:val="18"/>
                <w:color w:val="auto"/>
              </w:rPr>
              <w:t>If This Statement is Filed Pursuant to Rule 13d-1(b), or 13d-2(b) or (c), Check Whether the Person Filing is a:</w:t>
            </w:r>
          </w:p>
        </w:tc>
      </w:tr>
      <w:tr>
        <w:trPr>
          <w:trHeight w:val="432"/>
        </w:trPr>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ind w:left="60"/>
              <w:spacing w:after="0"/>
              <w:rPr>
                <w:sz w:val="20"/>
                <w:szCs w:val="20"/>
                <w:color w:val="auto"/>
              </w:rPr>
            </w:pPr>
            <w:r>
              <w:rPr>
                <w:rFonts w:ascii="Arial" w:cs="Arial" w:eastAsia="Arial" w:hAnsi="Arial"/>
                <w:sz w:val="18"/>
                <w:szCs w:val="18"/>
                <w:color w:val="auto"/>
              </w:rPr>
              <w:t>/x/</w:t>
            </w:r>
          </w:p>
        </w:tc>
        <w:tc>
          <w:tcPr>
            <w:tcW w:w="850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432"/>
        </w:trPr>
        <w:tc>
          <w:tcPr>
            <w:tcW w:w="1020" w:type="dxa"/>
            <w:vAlign w:val="bottom"/>
          </w:tcPr>
          <w:p>
            <w:pPr>
              <w:spacing w:after="0"/>
              <w:rPr>
                <w:sz w:val="24"/>
                <w:szCs w:val="24"/>
                <w:color w:val="auto"/>
              </w:rPr>
            </w:pPr>
          </w:p>
        </w:tc>
        <w:tc>
          <w:tcPr>
            <w:tcW w:w="1220" w:type="dxa"/>
            <w:vAlign w:val="bottom"/>
          </w:tcPr>
          <w:p>
            <w:pPr>
              <w:ind w:left="440"/>
              <w:spacing w:after="0"/>
              <w:rPr>
                <w:sz w:val="20"/>
                <w:szCs w:val="20"/>
                <w:color w:val="auto"/>
              </w:rPr>
            </w:pPr>
            <w:r>
              <w:rPr>
                <w:rFonts w:ascii="Arial" w:cs="Arial" w:eastAsia="Arial" w:hAnsi="Arial"/>
                <w:sz w:val="18"/>
                <w:szCs w:val="18"/>
                <w:color w:val="auto"/>
              </w:rPr>
              <w:t>(a)</w:t>
            </w:r>
          </w:p>
        </w:tc>
        <w:tc>
          <w:tcPr>
            <w:tcW w:w="580" w:type="dxa"/>
            <w:vAlign w:val="bottom"/>
          </w:tcPr>
          <w:p>
            <w:pPr>
              <w:ind w:left="60"/>
              <w:spacing w:after="0"/>
              <w:rPr>
                <w:sz w:val="20"/>
                <w:szCs w:val="20"/>
                <w:color w:val="auto"/>
              </w:rPr>
            </w:pPr>
            <w:r>
              <w:rPr>
                <w:rFonts w:ascii="Arial" w:cs="Arial" w:eastAsia="Arial" w:hAnsi="Arial"/>
                <w:sz w:val="18"/>
                <w:szCs w:val="18"/>
                <w:color w:val="auto"/>
              </w:rPr>
              <w:t>/ /</w:t>
            </w:r>
          </w:p>
        </w:tc>
        <w:tc>
          <w:tcPr>
            <w:tcW w:w="8500" w:type="dxa"/>
            <w:vAlign w:val="bottom"/>
          </w:tcPr>
          <w:p>
            <w:pPr>
              <w:ind w:left="320"/>
              <w:spacing w:after="0"/>
              <w:rPr>
                <w:sz w:val="20"/>
                <w:szCs w:val="20"/>
                <w:color w:val="auto"/>
              </w:rPr>
            </w:pPr>
            <w:r>
              <w:rPr>
                <w:rFonts w:ascii="Arial" w:cs="Arial" w:eastAsia="Arial" w:hAnsi="Arial"/>
                <w:sz w:val="18"/>
                <w:szCs w:val="18"/>
                <w:color w:val="auto"/>
              </w:rPr>
              <w:t>Broker or dealer registered under Section 15 of the Exchange Act.</w:t>
            </w:r>
          </w:p>
        </w:tc>
      </w:tr>
      <w:tr>
        <w:trPr>
          <w:trHeight w:val="432"/>
        </w:trPr>
        <w:tc>
          <w:tcPr>
            <w:tcW w:w="1020" w:type="dxa"/>
            <w:vAlign w:val="bottom"/>
          </w:tcPr>
          <w:p>
            <w:pPr>
              <w:spacing w:after="0"/>
              <w:rPr>
                <w:sz w:val="24"/>
                <w:szCs w:val="24"/>
                <w:color w:val="auto"/>
              </w:rPr>
            </w:pPr>
          </w:p>
        </w:tc>
        <w:tc>
          <w:tcPr>
            <w:tcW w:w="1220" w:type="dxa"/>
            <w:vAlign w:val="bottom"/>
          </w:tcPr>
          <w:p>
            <w:pPr>
              <w:ind w:left="440"/>
              <w:spacing w:after="0"/>
              <w:rPr>
                <w:sz w:val="20"/>
                <w:szCs w:val="20"/>
                <w:color w:val="auto"/>
              </w:rPr>
            </w:pPr>
            <w:r>
              <w:rPr>
                <w:rFonts w:ascii="Arial" w:cs="Arial" w:eastAsia="Arial" w:hAnsi="Arial"/>
                <w:sz w:val="18"/>
                <w:szCs w:val="18"/>
                <w:color w:val="auto"/>
              </w:rPr>
              <w:t>(b)</w:t>
            </w:r>
          </w:p>
        </w:tc>
        <w:tc>
          <w:tcPr>
            <w:tcW w:w="580" w:type="dxa"/>
            <w:vAlign w:val="bottom"/>
          </w:tcPr>
          <w:p>
            <w:pPr>
              <w:ind w:left="60"/>
              <w:spacing w:after="0"/>
              <w:rPr>
                <w:sz w:val="20"/>
                <w:szCs w:val="20"/>
                <w:color w:val="auto"/>
              </w:rPr>
            </w:pPr>
            <w:r>
              <w:rPr>
                <w:rFonts w:ascii="Arial" w:cs="Arial" w:eastAsia="Arial" w:hAnsi="Arial"/>
                <w:sz w:val="18"/>
                <w:szCs w:val="18"/>
                <w:color w:val="auto"/>
              </w:rPr>
              <w:t>/ /</w:t>
            </w:r>
          </w:p>
        </w:tc>
        <w:tc>
          <w:tcPr>
            <w:tcW w:w="8500" w:type="dxa"/>
            <w:vAlign w:val="bottom"/>
          </w:tcPr>
          <w:p>
            <w:pPr>
              <w:ind w:left="320"/>
              <w:spacing w:after="0"/>
              <w:rPr>
                <w:sz w:val="20"/>
                <w:szCs w:val="20"/>
                <w:color w:val="auto"/>
              </w:rPr>
            </w:pPr>
            <w:r>
              <w:rPr>
                <w:rFonts w:ascii="Arial" w:cs="Arial" w:eastAsia="Arial" w:hAnsi="Arial"/>
                <w:sz w:val="18"/>
                <w:szCs w:val="18"/>
                <w:color w:val="auto"/>
              </w:rPr>
              <w:t>Bank as defined in Section 3(a)(6) of the Exchange Act.</w:t>
            </w:r>
          </w:p>
        </w:tc>
      </w:tr>
      <w:tr>
        <w:trPr>
          <w:trHeight w:val="432"/>
        </w:trPr>
        <w:tc>
          <w:tcPr>
            <w:tcW w:w="1020" w:type="dxa"/>
            <w:vAlign w:val="bottom"/>
          </w:tcPr>
          <w:p>
            <w:pPr>
              <w:spacing w:after="0"/>
              <w:rPr>
                <w:sz w:val="24"/>
                <w:szCs w:val="24"/>
                <w:color w:val="auto"/>
              </w:rPr>
            </w:pPr>
          </w:p>
        </w:tc>
        <w:tc>
          <w:tcPr>
            <w:tcW w:w="1220" w:type="dxa"/>
            <w:vAlign w:val="bottom"/>
          </w:tcPr>
          <w:p>
            <w:pPr>
              <w:ind w:left="440"/>
              <w:spacing w:after="0"/>
              <w:rPr>
                <w:sz w:val="20"/>
                <w:szCs w:val="20"/>
                <w:color w:val="auto"/>
              </w:rPr>
            </w:pPr>
            <w:r>
              <w:rPr>
                <w:rFonts w:ascii="Arial" w:cs="Arial" w:eastAsia="Arial" w:hAnsi="Arial"/>
                <w:sz w:val="18"/>
                <w:szCs w:val="18"/>
                <w:color w:val="auto"/>
              </w:rPr>
              <w:t>(c)</w:t>
            </w:r>
          </w:p>
        </w:tc>
        <w:tc>
          <w:tcPr>
            <w:tcW w:w="580" w:type="dxa"/>
            <w:vAlign w:val="bottom"/>
          </w:tcPr>
          <w:p>
            <w:pPr>
              <w:ind w:left="60"/>
              <w:spacing w:after="0"/>
              <w:rPr>
                <w:sz w:val="20"/>
                <w:szCs w:val="20"/>
                <w:color w:val="auto"/>
              </w:rPr>
            </w:pPr>
            <w:r>
              <w:rPr>
                <w:rFonts w:ascii="Arial" w:cs="Arial" w:eastAsia="Arial" w:hAnsi="Arial"/>
                <w:sz w:val="18"/>
                <w:szCs w:val="18"/>
                <w:color w:val="auto"/>
              </w:rPr>
              <w:t>/ /</w:t>
            </w:r>
          </w:p>
        </w:tc>
        <w:tc>
          <w:tcPr>
            <w:tcW w:w="8500" w:type="dxa"/>
            <w:vAlign w:val="bottom"/>
          </w:tcPr>
          <w:p>
            <w:pPr>
              <w:ind w:left="320"/>
              <w:spacing w:after="0"/>
              <w:rPr>
                <w:sz w:val="20"/>
                <w:szCs w:val="20"/>
                <w:color w:val="auto"/>
              </w:rPr>
            </w:pPr>
            <w:r>
              <w:rPr>
                <w:rFonts w:ascii="Arial" w:cs="Arial" w:eastAsia="Arial" w:hAnsi="Arial"/>
                <w:sz w:val="18"/>
                <w:szCs w:val="18"/>
                <w:color w:val="auto"/>
              </w:rPr>
              <w:t>Insurance company as defined in Section 3(a)(19) of the Exchange Act.</w:t>
            </w:r>
          </w:p>
        </w:tc>
      </w:tr>
      <w:tr>
        <w:trPr>
          <w:trHeight w:val="432"/>
        </w:trPr>
        <w:tc>
          <w:tcPr>
            <w:tcW w:w="1020" w:type="dxa"/>
            <w:vAlign w:val="bottom"/>
          </w:tcPr>
          <w:p>
            <w:pPr>
              <w:spacing w:after="0"/>
              <w:rPr>
                <w:sz w:val="24"/>
                <w:szCs w:val="24"/>
                <w:color w:val="auto"/>
              </w:rPr>
            </w:pPr>
          </w:p>
        </w:tc>
        <w:tc>
          <w:tcPr>
            <w:tcW w:w="1220" w:type="dxa"/>
            <w:vAlign w:val="bottom"/>
          </w:tcPr>
          <w:p>
            <w:pPr>
              <w:ind w:left="440"/>
              <w:spacing w:after="0"/>
              <w:rPr>
                <w:sz w:val="20"/>
                <w:szCs w:val="20"/>
                <w:color w:val="auto"/>
              </w:rPr>
            </w:pPr>
            <w:r>
              <w:rPr>
                <w:rFonts w:ascii="Arial" w:cs="Arial" w:eastAsia="Arial" w:hAnsi="Arial"/>
                <w:sz w:val="18"/>
                <w:szCs w:val="18"/>
                <w:color w:val="auto"/>
              </w:rPr>
              <w:t>(d)</w:t>
            </w:r>
          </w:p>
        </w:tc>
        <w:tc>
          <w:tcPr>
            <w:tcW w:w="580" w:type="dxa"/>
            <w:vAlign w:val="bottom"/>
          </w:tcPr>
          <w:p>
            <w:pPr>
              <w:ind w:left="60"/>
              <w:spacing w:after="0"/>
              <w:rPr>
                <w:sz w:val="20"/>
                <w:szCs w:val="20"/>
                <w:color w:val="auto"/>
              </w:rPr>
            </w:pPr>
            <w:r>
              <w:rPr>
                <w:rFonts w:ascii="Arial" w:cs="Arial" w:eastAsia="Arial" w:hAnsi="Arial"/>
                <w:sz w:val="18"/>
                <w:szCs w:val="18"/>
                <w:color w:val="auto"/>
              </w:rPr>
              <w:t>/ /</w:t>
            </w:r>
          </w:p>
        </w:tc>
        <w:tc>
          <w:tcPr>
            <w:tcW w:w="8500" w:type="dxa"/>
            <w:vAlign w:val="bottom"/>
          </w:tcPr>
          <w:p>
            <w:pPr>
              <w:ind w:left="320"/>
              <w:spacing w:after="0"/>
              <w:rPr>
                <w:sz w:val="20"/>
                <w:szCs w:val="20"/>
                <w:color w:val="auto"/>
              </w:rPr>
            </w:pPr>
            <w:r>
              <w:rPr>
                <w:rFonts w:ascii="Arial" w:cs="Arial" w:eastAsia="Arial" w:hAnsi="Arial"/>
                <w:sz w:val="18"/>
                <w:szCs w:val="18"/>
                <w:color w:val="auto"/>
              </w:rPr>
              <w:t>Investment company registered under Section 8 of the Investment Company Act.</w:t>
            </w:r>
          </w:p>
        </w:tc>
      </w:tr>
      <w:tr>
        <w:trPr>
          <w:trHeight w:val="432"/>
        </w:trPr>
        <w:tc>
          <w:tcPr>
            <w:tcW w:w="1020" w:type="dxa"/>
            <w:vAlign w:val="bottom"/>
          </w:tcPr>
          <w:p>
            <w:pPr>
              <w:spacing w:after="0"/>
              <w:rPr>
                <w:sz w:val="24"/>
                <w:szCs w:val="24"/>
                <w:color w:val="auto"/>
              </w:rPr>
            </w:pPr>
          </w:p>
        </w:tc>
        <w:tc>
          <w:tcPr>
            <w:tcW w:w="1220" w:type="dxa"/>
            <w:vAlign w:val="bottom"/>
          </w:tcPr>
          <w:p>
            <w:pPr>
              <w:ind w:left="440"/>
              <w:spacing w:after="0"/>
              <w:rPr>
                <w:sz w:val="20"/>
                <w:szCs w:val="20"/>
                <w:color w:val="auto"/>
              </w:rPr>
            </w:pPr>
            <w:r>
              <w:rPr>
                <w:rFonts w:ascii="Arial" w:cs="Arial" w:eastAsia="Arial" w:hAnsi="Arial"/>
                <w:sz w:val="18"/>
                <w:szCs w:val="18"/>
                <w:color w:val="auto"/>
              </w:rPr>
              <w:t>(e)</w:t>
            </w:r>
          </w:p>
        </w:tc>
        <w:tc>
          <w:tcPr>
            <w:tcW w:w="580" w:type="dxa"/>
            <w:vAlign w:val="bottom"/>
          </w:tcPr>
          <w:p>
            <w:pPr>
              <w:ind w:left="60"/>
              <w:spacing w:after="0"/>
              <w:rPr>
                <w:sz w:val="20"/>
                <w:szCs w:val="20"/>
                <w:color w:val="auto"/>
              </w:rPr>
            </w:pPr>
            <w:r>
              <w:rPr>
                <w:rFonts w:ascii="Arial" w:cs="Arial" w:eastAsia="Arial" w:hAnsi="Arial"/>
                <w:sz w:val="18"/>
                <w:szCs w:val="18"/>
                <w:color w:val="auto"/>
              </w:rPr>
              <w:t>/ /</w:t>
            </w:r>
          </w:p>
        </w:tc>
        <w:tc>
          <w:tcPr>
            <w:tcW w:w="8500" w:type="dxa"/>
            <w:vAlign w:val="bottom"/>
          </w:tcPr>
          <w:p>
            <w:pPr>
              <w:ind w:left="320"/>
              <w:spacing w:after="0"/>
              <w:rPr>
                <w:sz w:val="20"/>
                <w:szCs w:val="20"/>
                <w:color w:val="auto"/>
              </w:rPr>
            </w:pPr>
            <w:r>
              <w:rPr>
                <w:rFonts w:ascii="Arial" w:cs="Arial" w:eastAsia="Arial" w:hAnsi="Arial"/>
                <w:sz w:val="18"/>
                <w:szCs w:val="18"/>
                <w:color w:val="auto"/>
              </w:rPr>
              <w:t>An investment adviser in accordance with Rule 13d-1(b)(1)(ii)(E).</w:t>
            </w:r>
          </w:p>
        </w:tc>
      </w:tr>
      <w:tr>
        <w:trPr>
          <w:trHeight w:val="432"/>
        </w:trPr>
        <w:tc>
          <w:tcPr>
            <w:tcW w:w="1020" w:type="dxa"/>
            <w:vAlign w:val="bottom"/>
          </w:tcPr>
          <w:p>
            <w:pPr>
              <w:spacing w:after="0"/>
              <w:rPr>
                <w:sz w:val="24"/>
                <w:szCs w:val="24"/>
                <w:color w:val="auto"/>
              </w:rPr>
            </w:pPr>
          </w:p>
        </w:tc>
        <w:tc>
          <w:tcPr>
            <w:tcW w:w="1220" w:type="dxa"/>
            <w:vAlign w:val="bottom"/>
          </w:tcPr>
          <w:p>
            <w:pPr>
              <w:ind w:left="440"/>
              <w:spacing w:after="0"/>
              <w:rPr>
                <w:sz w:val="20"/>
                <w:szCs w:val="20"/>
                <w:color w:val="auto"/>
              </w:rPr>
            </w:pPr>
            <w:r>
              <w:rPr>
                <w:rFonts w:ascii="Arial" w:cs="Arial" w:eastAsia="Arial" w:hAnsi="Arial"/>
                <w:sz w:val="18"/>
                <w:szCs w:val="18"/>
                <w:color w:val="auto"/>
              </w:rPr>
              <w:t>(f)</w:t>
            </w:r>
          </w:p>
        </w:tc>
        <w:tc>
          <w:tcPr>
            <w:tcW w:w="580" w:type="dxa"/>
            <w:vAlign w:val="bottom"/>
          </w:tcPr>
          <w:p>
            <w:pPr>
              <w:ind w:left="60"/>
              <w:spacing w:after="0"/>
              <w:rPr>
                <w:sz w:val="20"/>
                <w:szCs w:val="20"/>
                <w:color w:val="auto"/>
              </w:rPr>
            </w:pPr>
            <w:r>
              <w:rPr>
                <w:rFonts w:ascii="Arial" w:cs="Arial" w:eastAsia="Arial" w:hAnsi="Arial"/>
                <w:sz w:val="18"/>
                <w:szCs w:val="18"/>
                <w:color w:val="auto"/>
              </w:rPr>
              <w:t>/ /</w:t>
            </w:r>
          </w:p>
        </w:tc>
        <w:tc>
          <w:tcPr>
            <w:tcW w:w="8500" w:type="dxa"/>
            <w:vAlign w:val="bottom"/>
          </w:tcPr>
          <w:p>
            <w:pPr>
              <w:ind w:left="320"/>
              <w:spacing w:after="0"/>
              <w:rPr>
                <w:sz w:val="20"/>
                <w:szCs w:val="20"/>
                <w:color w:val="auto"/>
              </w:rPr>
            </w:pPr>
            <w:r>
              <w:rPr>
                <w:rFonts w:ascii="Arial" w:cs="Arial" w:eastAsia="Arial" w:hAnsi="Arial"/>
                <w:sz w:val="18"/>
                <w:szCs w:val="18"/>
                <w:color w:val="auto"/>
              </w:rPr>
              <w:t>An employee benefit plan or endowment fund in accordance with Rule 13d-1(b)(1)(ii)(F).</w:t>
            </w:r>
          </w:p>
        </w:tc>
      </w:tr>
      <w:tr>
        <w:trPr>
          <w:trHeight w:val="432"/>
        </w:trPr>
        <w:tc>
          <w:tcPr>
            <w:tcW w:w="1020" w:type="dxa"/>
            <w:vAlign w:val="bottom"/>
          </w:tcPr>
          <w:p>
            <w:pPr>
              <w:spacing w:after="0"/>
              <w:rPr>
                <w:sz w:val="24"/>
                <w:szCs w:val="24"/>
                <w:color w:val="auto"/>
              </w:rPr>
            </w:pPr>
          </w:p>
        </w:tc>
        <w:tc>
          <w:tcPr>
            <w:tcW w:w="1220" w:type="dxa"/>
            <w:vAlign w:val="bottom"/>
          </w:tcPr>
          <w:p>
            <w:pPr>
              <w:ind w:left="440"/>
              <w:spacing w:after="0"/>
              <w:rPr>
                <w:sz w:val="20"/>
                <w:szCs w:val="20"/>
                <w:color w:val="auto"/>
              </w:rPr>
            </w:pPr>
            <w:r>
              <w:rPr>
                <w:rFonts w:ascii="Arial" w:cs="Arial" w:eastAsia="Arial" w:hAnsi="Arial"/>
                <w:sz w:val="18"/>
                <w:szCs w:val="18"/>
                <w:color w:val="auto"/>
              </w:rPr>
              <w:t>(g)</w:t>
            </w:r>
          </w:p>
        </w:tc>
        <w:tc>
          <w:tcPr>
            <w:tcW w:w="580" w:type="dxa"/>
            <w:vAlign w:val="bottom"/>
          </w:tcPr>
          <w:p>
            <w:pPr>
              <w:ind w:left="60"/>
              <w:spacing w:after="0"/>
              <w:rPr>
                <w:sz w:val="20"/>
                <w:szCs w:val="20"/>
                <w:color w:val="auto"/>
              </w:rPr>
            </w:pPr>
            <w:r>
              <w:rPr>
                <w:rFonts w:ascii="Arial" w:cs="Arial" w:eastAsia="Arial" w:hAnsi="Arial"/>
                <w:sz w:val="18"/>
                <w:szCs w:val="18"/>
                <w:color w:val="auto"/>
              </w:rPr>
              <w:t>/ /</w:t>
            </w:r>
          </w:p>
        </w:tc>
        <w:tc>
          <w:tcPr>
            <w:tcW w:w="8500" w:type="dxa"/>
            <w:vAlign w:val="bottom"/>
          </w:tcPr>
          <w:p>
            <w:pPr>
              <w:ind w:left="320"/>
              <w:spacing w:after="0"/>
              <w:rPr>
                <w:sz w:val="20"/>
                <w:szCs w:val="20"/>
                <w:color w:val="auto"/>
              </w:rPr>
            </w:pPr>
            <w:r>
              <w:rPr>
                <w:rFonts w:ascii="Arial" w:cs="Arial" w:eastAsia="Arial" w:hAnsi="Arial"/>
                <w:sz w:val="18"/>
                <w:szCs w:val="18"/>
                <w:color w:val="auto"/>
              </w:rPr>
              <w:t>A parent holding company or control person in accordance with Rule 13d-1(b)(1)(ii)(G).</w:t>
            </w:r>
          </w:p>
        </w:tc>
      </w:tr>
      <w:tr>
        <w:trPr>
          <w:trHeight w:val="432"/>
        </w:trPr>
        <w:tc>
          <w:tcPr>
            <w:tcW w:w="1020" w:type="dxa"/>
            <w:vAlign w:val="bottom"/>
          </w:tcPr>
          <w:p>
            <w:pPr>
              <w:spacing w:after="0"/>
              <w:rPr>
                <w:sz w:val="24"/>
                <w:szCs w:val="24"/>
                <w:color w:val="auto"/>
              </w:rPr>
            </w:pPr>
          </w:p>
        </w:tc>
        <w:tc>
          <w:tcPr>
            <w:tcW w:w="1220" w:type="dxa"/>
            <w:vAlign w:val="bottom"/>
          </w:tcPr>
          <w:p>
            <w:pPr>
              <w:ind w:left="440"/>
              <w:spacing w:after="0"/>
              <w:rPr>
                <w:sz w:val="20"/>
                <w:szCs w:val="20"/>
                <w:color w:val="auto"/>
              </w:rPr>
            </w:pPr>
            <w:r>
              <w:rPr>
                <w:rFonts w:ascii="Arial" w:cs="Arial" w:eastAsia="Arial" w:hAnsi="Arial"/>
                <w:sz w:val="18"/>
                <w:szCs w:val="18"/>
                <w:color w:val="auto"/>
              </w:rPr>
              <w:t>(h)</w:t>
            </w:r>
          </w:p>
        </w:tc>
        <w:tc>
          <w:tcPr>
            <w:tcW w:w="580" w:type="dxa"/>
            <w:vAlign w:val="bottom"/>
          </w:tcPr>
          <w:p>
            <w:pPr>
              <w:ind w:left="60"/>
              <w:spacing w:after="0"/>
              <w:rPr>
                <w:sz w:val="20"/>
                <w:szCs w:val="20"/>
                <w:color w:val="auto"/>
              </w:rPr>
            </w:pPr>
            <w:r>
              <w:rPr>
                <w:rFonts w:ascii="Arial" w:cs="Arial" w:eastAsia="Arial" w:hAnsi="Arial"/>
                <w:sz w:val="18"/>
                <w:szCs w:val="18"/>
                <w:color w:val="auto"/>
              </w:rPr>
              <w:t>/ /</w:t>
            </w:r>
          </w:p>
        </w:tc>
        <w:tc>
          <w:tcPr>
            <w:tcW w:w="8500" w:type="dxa"/>
            <w:vAlign w:val="bottom"/>
          </w:tcPr>
          <w:p>
            <w:pPr>
              <w:ind w:left="320"/>
              <w:spacing w:after="0"/>
              <w:rPr>
                <w:sz w:val="20"/>
                <w:szCs w:val="20"/>
                <w:color w:val="auto"/>
              </w:rPr>
            </w:pPr>
            <w:r>
              <w:rPr>
                <w:rFonts w:ascii="Arial" w:cs="Arial" w:eastAsia="Arial" w:hAnsi="Arial"/>
                <w:sz w:val="18"/>
                <w:szCs w:val="18"/>
                <w:color w:val="auto"/>
              </w:rPr>
              <w:t>A savings association as defined in Section 3(b) of the Federal Deposit Insurance Act.</w:t>
            </w:r>
          </w:p>
        </w:tc>
      </w:tr>
      <w:tr>
        <w:trPr>
          <w:trHeight w:val="418"/>
        </w:trPr>
        <w:tc>
          <w:tcPr>
            <w:tcW w:w="1020" w:type="dxa"/>
            <w:vAlign w:val="bottom"/>
          </w:tcPr>
          <w:p>
            <w:pPr>
              <w:spacing w:after="0"/>
              <w:rPr>
                <w:sz w:val="24"/>
                <w:szCs w:val="24"/>
                <w:color w:val="auto"/>
              </w:rPr>
            </w:pPr>
          </w:p>
        </w:tc>
        <w:tc>
          <w:tcPr>
            <w:tcW w:w="1220" w:type="dxa"/>
            <w:vAlign w:val="bottom"/>
          </w:tcPr>
          <w:p>
            <w:pPr>
              <w:ind w:left="440"/>
              <w:spacing w:after="0"/>
              <w:rPr>
                <w:sz w:val="20"/>
                <w:szCs w:val="20"/>
                <w:color w:val="auto"/>
              </w:rPr>
            </w:pPr>
            <w:r>
              <w:rPr>
                <w:rFonts w:ascii="Arial" w:cs="Arial" w:eastAsia="Arial" w:hAnsi="Arial"/>
                <w:sz w:val="18"/>
                <w:szCs w:val="18"/>
                <w:color w:val="auto"/>
              </w:rPr>
              <w:t>(i)</w:t>
            </w:r>
          </w:p>
        </w:tc>
        <w:tc>
          <w:tcPr>
            <w:tcW w:w="580" w:type="dxa"/>
            <w:vAlign w:val="bottom"/>
          </w:tcPr>
          <w:p>
            <w:pPr>
              <w:ind w:left="60"/>
              <w:spacing w:after="0"/>
              <w:rPr>
                <w:sz w:val="20"/>
                <w:szCs w:val="20"/>
                <w:color w:val="auto"/>
              </w:rPr>
            </w:pPr>
            <w:r>
              <w:rPr>
                <w:rFonts w:ascii="Arial" w:cs="Arial" w:eastAsia="Arial" w:hAnsi="Arial"/>
                <w:sz w:val="18"/>
                <w:szCs w:val="18"/>
                <w:color w:val="auto"/>
              </w:rPr>
              <w:t>/ /</w:t>
            </w:r>
          </w:p>
        </w:tc>
        <w:tc>
          <w:tcPr>
            <w:tcW w:w="8500" w:type="dxa"/>
            <w:vAlign w:val="bottom"/>
          </w:tcPr>
          <w:p>
            <w:pPr>
              <w:ind w:left="320"/>
              <w:spacing w:after="0"/>
              <w:rPr>
                <w:sz w:val="20"/>
                <w:szCs w:val="20"/>
                <w:color w:val="auto"/>
              </w:rPr>
            </w:pPr>
            <w:r>
              <w:rPr>
                <w:rFonts w:ascii="Arial" w:cs="Arial" w:eastAsia="Arial" w:hAnsi="Arial"/>
                <w:sz w:val="18"/>
                <w:szCs w:val="18"/>
                <w:color w:val="auto"/>
                <w:w w:val="97"/>
              </w:rPr>
              <w:t>A church plan that is excluded from the definition of an investment company under Section 3(c)(14) of the</w:t>
            </w:r>
          </w:p>
        </w:tc>
      </w:tr>
      <w:tr>
        <w:trPr>
          <w:trHeight w:val="230"/>
        </w:trPr>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500" w:type="dxa"/>
            <w:vAlign w:val="bottom"/>
          </w:tcPr>
          <w:p>
            <w:pPr>
              <w:ind w:left="320"/>
              <w:spacing w:after="0"/>
              <w:rPr>
                <w:sz w:val="20"/>
                <w:szCs w:val="20"/>
                <w:color w:val="auto"/>
              </w:rPr>
            </w:pPr>
            <w:r>
              <w:rPr>
                <w:rFonts w:ascii="Arial" w:cs="Arial" w:eastAsia="Arial" w:hAnsi="Arial"/>
                <w:sz w:val="18"/>
                <w:szCs w:val="18"/>
                <w:color w:val="auto"/>
              </w:rPr>
              <w:t>Investment Company Act.</w:t>
            </w:r>
          </w:p>
        </w:tc>
      </w:tr>
      <w:tr>
        <w:trPr>
          <w:trHeight w:val="432"/>
        </w:trPr>
        <w:tc>
          <w:tcPr>
            <w:tcW w:w="1020" w:type="dxa"/>
            <w:vAlign w:val="bottom"/>
          </w:tcPr>
          <w:p>
            <w:pPr>
              <w:spacing w:after="0"/>
              <w:rPr>
                <w:sz w:val="24"/>
                <w:szCs w:val="24"/>
                <w:color w:val="auto"/>
              </w:rPr>
            </w:pPr>
          </w:p>
        </w:tc>
        <w:tc>
          <w:tcPr>
            <w:tcW w:w="1220" w:type="dxa"/>
            <w:vAlign w:val="bottom"/>
          </w:tcPr>
          <w:p>
            <w:pPr>
              <w:ind w:left="440"/>
              <w:spacing w:after="0"/>
              <w:rPr>
                <w:sz w:val="20"/>
                <w:szCs w:val="20"/>
                <w:color w:val="auto"/>
              </w:rPr>
            </w:pPr>
            <w:r>
              <w:rPr>
                <w:rFonts w:ascii="Arial" w:cs="Arial" w:eastAsia="Arial" w:hAnsi="Arial"/>
                <w:sz w:val="18"/>
                <w:szCs w:val="18"/>
                <w:color w:val="auto"/>
              </w:rPr>
              <w:t>(j)</w:t>
            </w:r>
          </w:p>
        </w:tc>
        <w:tc>
          <w:tcPr>
            <w:tcW w:w="580" w:type="dxa"/>
            <w:vAlign w:val="bottom"/>
          </w:tcPr>
          <w:p>
            <w:pPr>
              <w:ind w:left="60"/>
              <w:spacing w:after="0"/>
              <w:rPr>
                <w:sz w:val="20"/>
                <w:szCs w:val="20"/>
                <w:color w:val="auto"/>
              </w:rPr>
            </w:pPr>
            <w:r>
              <w:rPr>
                <w:rFonts w:ascii="Arial" w:cs="Arial" w:eastAsia="Arial" w:hAnsi="Arial"/>
                <w:sz w:val="18"/>
                <w:szCs w:val="18"/>
                <w:color w:val="auto"/>
              </w:rPr>
              <w:t>/ /</w:t>
            </w:r>
          </w:p>
        </w:tc>
        <w:tc>
          <w:tcPr>
            <w:tcW w:w="8500" w:type="dxa"/>
            <w:vAlign w:val="bottom"/>
          </w:tcPr>
          <w:p>
            <w:pPr>
              <w:ind w:left="320"/>
              <w:spacing w:after="0"/>
              <w:rPr>
                <w:sz w:val="20"/>
                <w:szCs w:val="20"/>
                <w:color w:val="auto"/>
              </w:rPr>
            </w:pPr>
            <w:r>
              <w:rPr>
                <w:rFonts w:ascii="Arial" w:cs="Arial" w:eastAsia="Arial" w:hAnsi="Arial"/>
                <w:sz w:val="18"/>
                <w:szCs w:val="18"/>
                <w:color w:val="auto"/>
              </w:rPr>
              <w:t>Group, in accordance with Rule 13d-1(b)(1)(ii)(J).</w:t>
            </w:r>
          </w:p>
        </w:tc>
      </w:tr>
      <w:tr>
        <w:trPr>
          <w:trHeight w:val="418"/>
        </w:trPr>
        <w:tc>
          <w:tcPr>
            <w:tcW w:w="1020" w:type="dxa"/>
            <w:vAlign w:val="bottom"/>
          </w:tcPr>
          <w:p>
            <w:pPr>
              <w:spacing w:after="0"/>
              <w:rPr>
                <w:sz w:val="24"/>
                <w:szCs w:val="24"/>
                <w:color w:val="auto"/>
              </w:rPr>
            </w:pPr>
          </w:p>
        </w:tc>
        <w:tc>
          <w:tcPr>
            <w:tcW w:w="1220" w:type="dxa"/>
            <w:vAlign w:val="bottom"/>
          </w:tcPr>
          <w:p>
            <w:pPr>
              <w:ind w:left="440"/>
              <w:spacing w:after="0"/>
              <w:rPr>
                <w:sz w:val="20"/>
                <w:szCs w:val="20"/>
                <w:color w:val="auto"/>
              </w:rPr>
            </w:pPr>
            <w:r>
              <w:rPr>
                <w:rFonts w:ascii="Arial" w:cs="Arial" w:eastAsia="Arial" w:hAnsi="Arial"/>
                <w:sz w:val="18"/>
                <w:szCs w:val="18"/>
                <w:color w:val="auto"/>
              </w:rPr>
              <w:t>(k)</w:t>
            </w:r>
          </w:p>
        </w:tc>
        <w:tc>
          <w:tcPr>
            <w:tcW w:w="580" w:type="dxa"/>
            <w:vAlign w:val="bottom"/>
          </w:tcPr>
          <w:p>
            <w:pPr>
              <w:ind w:left="60"/>
              <w:spacing w:after="0"/>
              <w:rPr>
                <w:sz w:val="20"/>
                <w:szCs w:val="20"/>
                <w:color w:val="auto"/>
              </w:rPr>
            </w:pPr>
            <w:r>
              <w:rPr>
                <w:rFonts w:ascii="Arial" w:cs="Arial" w:eastAsia="Arial" w:hAnsi="Arial"/>
                <w:sz w:val="18"/>
                <w:szCs w:val="18"/>
                <w:color w:val="auto"/>
              </w:rPr>
              <w:t>/ /</w:t>
            </w:r>
          </w:p>
        </w:tc>
        <w:tc>
          <w:tcPr>
            <w:tcW w:w="8500" w:type="dxa"/>
            <w:vAlign w:val="bottom"/>
          </w:tcPr>
          <w:p>
            <w:pPr>
              <w:ind w:left="320"/>
              <w:spacing w:after="0"/>
              <w:rPr>
                <w:sz w:val="20"/>
                <w:szCs w:val="20"/>
                <w:color w:val="auto"/>
              </w:rPr>
            </w:pPr>
            <w:r>
              <w:rPr>
                <w:rFonts w:ascii="Arial" w:cs="Arial" w:eastAsia="Arial" w:hAnsi="Arial"/>
                <w:sz w:val="18"/>
                <w:szCs w:val="18"/>
                <w:color w:val="auto"/>
                <w:w w:val="92"/>
              </w:rPr>
              <w:t>Group, in accordance with Rule 240.13d-1(b)(1)(ii)(K). If filing as a non-U.S. institution in accordance with Rule</w:t>
            </w:r>
          </w:p>
        </w:tc>
      </w:tr>
      <w:tr>
        <w:trPr>
          <w:trHeight w:val="230"/>
        </w:trPr>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500" w:type="dxa"/>
            <w:vAlign w:val="bottom"/>
          </w:tcPr>
          <w:p>
            <w:pPr>
              <w:ind w:left="320"/>
              <w:spacing w:after="0"/>
              <w:rPr>
                <w:sz w:val="20"/>
                <w:szCs w:val="20"/>
                <w:color w:val="auto"/>
              </w:rPr>
            </w:pPr>
            <w:r>
              <w:rPr>
                <w:rFonts w:ascii="Arial" w:cs="Arial" w:eastAsia="Arial" w:hAnsi="Arial"/>
                <w:sz w:val="18"/>
                <w:szCs w:val="18"/>
                <w:color w:val="auto"/>
              </w:rPr>
              <w:t>240.13d-1(b)(1)(ii)(J), please specify the type of institution: ____</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1220" w:type="dxa"/>
            <w:vAlign w:val="bottom"/>
          </w:tcPr>
          <w:p>
            <w:pPr>
              <w:ind w:left="280"/>
              <w:spacing w:after="0"/>
              <w:rPr>
                <w:sz w:val="20"/>
                <w:szCs w:val="20"/>
                <w:color w:val="auto"/>
              </w:rPr>
            </w:pPr>
            <w:r>
              <w:rPr>
                <w:rFonts w:ascii="Arial" w:cs="Arial" w:eastAsia="Arial" w:hAnsi="Arial"/>
                <w:sz w:val="18"/>
                <w:szCs w:val="18"/>
                <w:color w:val="auto"/>
              </w:rPr>
              <w:t>Ownership</w:t>
            </w:r>
          </w:p>
        </w:tc>
        <w:tc>
          <w:tcPr>
            <w:tcW w:w="580" w:type="dxa"/>
            <w:vAlign w:val="bottom"/>
          </w:tcPr>
          <w:p>
            <w:pPr>
              <w:spacing w:after="0"/>
              <w:rPr>
                <w:sz w:val="24"/>
                <w:szCs w:val="24"/>
                <w:color w:val="auto"/>
              </w:rPr>
            </w:pPr>
          </w:p>
        </w:tc>
        <w:tc>
          <w:tcPr>
            <w:tcW w:w="8500" w:type="dxa"/>
            <w:vAlign w:val="bottom"/>
          </w:tcPr>
          <w:p>
            <w:pPr>
              <w:spacing w:after="0"/>
              <w:rPr>
                <w:sz w:val="24"/>
                <w:szCs w:val="24"/>
                <w:color w:val="auto"/>
              </w:rPr>
            </w:pPr>
          </w:p>
        </w:tc>
      </w:tr>
    </w:tbl>
    <w:p>
      <w:pPr>
        <w:spacing w:after="0" w:line="202"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As of the close of business on June 11, 2018, (i) Brosh beneficially owned 453,863 Shares, (ii) Mr. Biram beneficially owned 41,071 Shares, and (iii) Ms. Deutsch beneficially owned 41,060 Shares.</w:t>
      </w:r>
    </w:p>
    <w:p>
      <w:pPr>
        <w:spacing w:after="0" w:line="170" w:lineRule="exact"/>
        <w:rPr>
          <w:rFonts w:ascii="Arial" w:cs="Arial" w:eastAsia="Arial" w:hAnsi="Arial"/>
          <w:sz w:val="18"/>
          <w:szCs w:val="18"/>
          <w:color w:val="auto"/>
        </w:rPr>
      </w:pPr>
    </w:p>
    <w:p>
      <w:pPr>
        <w:jc w:val="both"/>
        <w:ind w:left="1300"/>
        <w:spacing w:after="0" w:line="264" w:lineRule="auto"/>
        <w:rPr>
          <w:rFonts w:ascii="Arial" w:cs="Arial" w:eastAsia="Arial" w:hAnsi="Arial"/>
          <w:sz w:val="18"/>
          <w:szCs w:val="18"/>
          <w:color w:val="auto"/>
        </w:rPr>
      </w:pPr>
      <w:r>
        <w:rPr>
          <w:rFonts w:ascii="Arial" w:cs="Arial" w:eastAsia="Arial" w:hAnsi="Arial"/>
          <w:sz w:val="18"/>
          <w:szCs w:val="18"/>
          <w:color w:val="auto"/>
        </w:rPr>
        <w:t>Exodus GP, as the general partner of Brosh, may be deemed to beneficially own the 453,863 Shares owned by Brosh and as portfolio manager for a certain managed account (the “Exodus Managed Account”), may be deemed to beneficially own the 33,185 shares held in the Exodus Managed Account.</w:t>
      </w:r>
    </w:p>
    <w:p>
      <w:pPr>
        <w:spacing w:after="0" w:line="181" w:lineRule="exact"/>
        <w:rPr>
          <w:rFonts w:ascii="Arial" w:cs="Arial" w:eastAsia="Arial" w:hAnsi="Arial"/>
          <w:sz w:val="18"/>
          <w:szCs w:val="18"/>
          <w:color w:val="auto"/>
        </w:rPr>
      </w:pPr>
    </w:p>
    <w:p>
      <w:pPr>
        <w:jc w:val="both"/>
        <w:ind w:left="1300"/>
        <w:spacing w:after="0" w:line="286" w:lineRule="auto"/>
        <w:rPr>
          <w:rFonts w:ascii="Arial" w:cs="Arial" w:eastAsia="Arial" w:hAnsi="Arial"/>
          <w:sz w:val="18"/>
          <w:szCs w:val="18"/>
          <w:color w:val="auto"/>
        </w:rPr>
      </w:pPr>
      <w:r>
        <w:rPr>
          <w:rFonts w:ascii="Arial" w:cs="Arial" w:eastAsia="Arial" w:hAnsi="Arial"/>
          <w:sz w:val="17"/>
          <w:szCs w:val="17"/>
          <w:color w:val="auto"/>
        </w:rPr>
        <w:t>Mr. Efrati, as the portfolio manager of each of Brosh and Exodus GP and because of certain Power of Attorney Agreements between him and each of Mr. Biram and Ms. Deutsch, may be deemed to beneficially own: (i) 453,863 Shares owned by Brosh; (ii) 33,185 Shares held in the Exodus Managed Account; (iii) 41,071 Shares owned by Mr. Biram and (iv) 41,060 Shares owned by Ms. Deutsch.</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M1492T105</w:t>
      </w:r>
    </w:p>
    <w:p>
      <w:pPr>
        <w:spacing w:after="0" w:line="321"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color w:val="auto"/>
        </w:rPr>
        <w:t>The foregoing should not be construed in and of itself as an admission by any Reporting Person as to beneficial ownership of any Shares owned by another Reporting Person. Exodus GP disclaims beneficial ownership of the Shares beneficially owned by Brosh and the Exodus Managed Account. Mr. Efrati disclaims beneficial ownership of the Shares beneficially owned by Brosh, the Exodus Managed Account, Mr. Biram, and Ms. Deutsch, and the filing of this statement shall not be construed as an admission that any such person or entity is the beneficial owner of any such securities.</w:t>
      </w:r>
    </w:p>
    <w:p>
      <w:pPr>
        <w:spacing w:after="0" w:line="188"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The following percentages are based on 10,699,271 Shares outstanding, as reported in the Issuer’s Annual Report on Form 20-F filed with the Securities and Exchange Commission on May 14, 2018.</w:t>
      </w:r>
    </w:p>
    <w:p>
      <w:pPr>
        <w:spacing w:after="0" w:line="170" w:lineRule="exact"/>
        <w:rPr>
          <w:rFonts w:ascii="Arial" w:cs="Arial" w:eastAsia="Arial" w:hAnsi="Arial"/>
          <w:sz w:val="18"/>
          <w:szCs w:val="18"/>
          <w:color w:val="auto"/>
        </w:rPr>
      </w:pPr>
    </w:p>
    <w:p>
      <w:pPr>
        <w:jc w:val="both"/>
        <w:ind w:left="1300"/>
        <w:spacing w:after="0" w:line="257" w:lineRule="auto"/>
        <w:rPr>
          <w:rFonts w:ascii="Arial" w:cs="Arial" w:eastAsia="Arial" w:hAnsi="Arial"/>
          <w:sz w:val="18"/>
          <w:szCs w:val="18"/>
          <w:color w:val="auto"/>
        </w:rPr>
      </w:pPr>
      <w:r>
        <w:rPr>
          <w:rFonts w:ascii="Arial" w:cs="Arial" w:eastAsia="Arial" w:hAnsi="Arial"/>
          <w:sz w:val="18"/>
          <w:szCs w:val="18"/>
          <w:color w:val="auto"/>
        </w:rPr>
        <w:t>As of the close of business on June 11, 2018 (i) Brosh beneficially owned approximately 4.2% of the outstanding Shares, (ii) Exodus GP may be deemed to beneficially own approximately 4.6% of the outstanding Shares (less than 1% of the outstanding Shares are held in the Exodus Managed Account), (iii) Mr. Biram beneficially owned less than 1% of the outstanding Shares, (iv) Ms. Deutsch beneficially owned less than 1% of the outstanding Shares, and (v) Mr. Efrati may be deemed to beneficially own approximately 5.3% of the outstanding Shares.</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sz w:val="20"/>
          <w:szCs w:val="20"/>
          <w:color w:val="auto"/>
        </w:rPr>
      </w:pPr>
    </w:p>
    <w:p>
      <w:pPr>
        <w:ind w:left="1300" w:right="7300" w:hanging="644"/>
        <w:spacing w:after="0" w:line="501"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See Cover Pages Items 5-9.</w:t>
      </w:r>
    </w:p>
    <w:p>
      <w:pPr>
        <w:ind w:left="1300" w:right="7120" w:hanging="644"/>
        <w:spacing w:after="0" w:line="501"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See Cover Pages Items 5-9.</w:t>
      </w:r>
    </w:p>
    <w:p>
      <w:pPr>
        <w:ind w:left="1300" w:right="6400" w:hanging="644"/>
        <w:spacing w:after="0" w:line="501"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Cover Pages Items 5-9.</w:t>
      </w:r>
    </w:p>
    <w:p>
      <w:pPr>
        <w:ind w:left="1300" w:right="6220" w:hanging="644"/>
        <w:spacing w:after="0" w:line="501"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Cover Pages Items 5-9.</w:t>
      </w: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Mr. Efrati has voting and dispositive power over the Shares beneficially owned by Brosh, the Exodus Managed Account, Mr. Biram, and Ms. Deutsch.</w:t>
      </w:r>
    </w:p>
    <w:p>
      <w:pPr>
        <w:spacing w:after="0" w:line="170" w:lineRule="exact"/>
        <w:rPr>
          <w:sz w:val="20"/>
          <w:szCs w:val="20"/>
          <w:color w:val="auto"/>
        </w:rPr>
      </w:pPr>
    </w:p>
    <w:p>
      <w:pPr>
        <w:ind w:left="1300" w:hanging="1296"/>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That Acquired the Security Being Reported on by the Parent Holding Company or Control Person.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M1492T105</w:t>
      </w:r>
    </w:p>
    <w:p>
      <w:pPr>
        <w:spacing w:after="0" w:line="3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Exhibit 99.1.</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CUSIP NO. M1492T105</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After reasonable inquiry and to the best of his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June 11, 2018</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BROSH CAPITAL PARTNERS, L.P.</w:t>
      </w:r>
    </w:p>
    <w:p>
      <w:pPr>
        <w:spacing w:after="0" w:line="225" w:lineRule="exact"/>
        <w:rPr>
          <w:sz w:val="20"/>
          <w:szCs w:val="20"/>
          <w:color w:val="auto"/>
        </w:rPr>
      </w:pPr>
    </w:p>
    <w:tbl>
      <w:tblPr>
        <w:tblLayout w:type="fixed"/>
        <w:tblInd w:w="594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gridSpan w:val="2"/>
          </w:tcPr>
          <w:p>
            <w:pPr>
              <w:ind w:left="120"/>
              <w:spacing w:after="0"/>
              <w:rPr>
                <w:sz w:val="20"/>
                <w:szCs w:val="20"/>
                <w:color w:val="auto"/>
              </w:rPr>
            </w:pPr>
            <w:r>
              <w:rPr>
                <w:rFonts w:ascii="Arial" w:cs="Arial" w:eastAsia="Arial" w:hAnsi="Arial"/>
                <w:sz w:val="18"/>
                <w:szCs w:val="18"/>
                <w:color w:val="auto"/>
              </w:rPr>
              <w:t>Exodus Management Israel Ltd.</w:t>
            </w:r>
          </w:p>
        </w:tc>
      </w:tr>
      <w:tr>
        <w:trPr>
          <w:trHeight w:val="230"/>
        </w:trPr>
        <w:tc>
          <w:tcPr>
            <w:tcW w:w="46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Its General Partner</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Amir Efrati</w:t>
            </w:r>
          </w:p>
        </w:tc>
      </w:tr>
      <w:tr>
        <w:trPr>
          <w:trHeight w:val="195"/>
        </w:trPr>
        <w:tc>
          <w:tcPr>
            <w:tcW w:w="460" w:type="dxa"/>
            <w:vAlign w:val="bottom"/>
          </w:tcPr>
          <w:p>
            <w:pPr>
              <w:spacing w:after="0"/>
              <w:rPr>
                <w:sz w:val="16"/>
                <w:szCs w:val="16"/>
                <w:color w:val="auto"/>
              </w:rPr>
            </w:pPr>
          </w:p>
        </w:tc>
        <w:tc>
          <w:tcPr>
            <w:tcW w:w="86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28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rPr>
              <w:t>Title:</w:t>
            </w:r>
          </w:p>
        </w:tc>
        <w:tc>
          <w:tcPr>
            <w:tcW w:w="4160" w:type="dxa"/>
            <w:vAlign w:val="bottom"/>
          </w:tcPr>
          <w:p>
            <w:pPr>
              <w:ind w:left="280"/>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1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EXODUS MANAGEMENT ISRAEL LTD.</w:t>
      </w:r>
    </w:p>
    <w:p>
      <w:pPr>
        <w:spacing w:after="0" w:line="225"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Amir Efrati</w:t>
            </w:r>
          </w:p>
        </w:tc>
      </w:tr>
      <w:tr>
        <w:trPr>
          <w:trHeight w:val="195"/>
        </w:trPr>
        <w:tc>
          <w:tcPr>
            <w:tcW w:w="460" w:type="dxa"/>
            <w:vAlign w:val="bottom"/>
          </w:tcPr>
          <w:p>
            <w:pPr>
              <w:spacing w:after="0"/>
              <w:rPr>
                <w:sz w:val="16"/>
                <w:szCs w:val="16"/>
                <w:color w:val="auto"/>
              </w:rPr>
            </w:pPr>
          </w:p>
        </w:tc>
        <w:tc>
          <w:tcPr>
            <w:tcW w:w="86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28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rPr>
              <w:t>Title:</w:t>
            </w:r>
          </w:p>
        </w:tc>
        <w:tc>
          <w:tcPr>
            <w:tcW w:w="4160" w:type="dxa"/>
            <w:vAlign w:val="bottom"/>
          </w:tcPr>
          <w:p>
            <w:pPr>
              <w:ind w:left="280"/>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1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Amir Efrati</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Amir Efrati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Individually, and as attorney-in-fact for Aharon Biram and Ester Deutsch</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undersigned hereby agree that the Statement on Schedule 13G dated June 11, 2018 with respect to the Ordinary Shares, par value of NIS 0.07, of Arcturus Therapeutics Ltd., and any further amendments thereto executed by each and any of the undersigned shall be filed on behalf of each of the undersigned pursuant to and in accordance with the provisions of Rule 13d-1(k)(1) under the Securities Exchange Act of 1934,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 June 11, 2018</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BROSH CAPITAL PARTNERS, L.P.</w:t>
      </w:r>
    </w:p>
    <w:p>
      <w:pPr>
        <w:spacing w:after="0" w:line="225" w:lineRule="exact"/>
        <w:rPr>
          <w:sz w:val="20"/>
          <w:szCs w:val="20"/>
          <w:color w:val="auto"/>
        </w:rPr>
      </w:pPr>
    </w:p>
    <w:tbl>
      <w:tblPr>
        <w:tblLayout w:type="fixed"/>
        <w:tblInd w:w="594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gridSpan w:val="2"/>
          </w:tcPr>
          <w:p>
            <w:pPr>
              <w:ind w:left="120"/>
              <w:spacing w:after="0"/>
              <w:rPr>
                <w:sz w:val="20"/>
                <w:szCs w:val="20"/>
                <w:color w:val="auto"/>
              </w:rPr>
            </w:pPr>
            <w:r>
              <w:rPr>
                <w:rFonts w:ascii="Arial" w:cs="Arial" w:eastAsia="Arial" w:hAnsi="Arial"/>
                <w:sz w:val="18"/>
                <w:szCs w:val="18"/>
                <w:color w:val="auto"/>
              </w:rPr>
              <w:t>Exodus Management Israel Ltd.</w:t>
            </w:r>
          </w:p>
        </w:tc>
      </w:tr>
      <w:tr>
        <w:trPr>
          <w:trHeight w:val="230"/>
        </w:trPr>
        <w:tc>
          <w:tcPr>
            <w:tcW w:w="46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Its General Partner</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Amir Efrati</w:t>
            </w:r>
          </w:p>
        </w:tc>
      </w:tr>
      <w:tr>
        <w:trPr>
          <w:trHeight w:val="195"/>
        </w:trPr>
        <w:tc>
          <w:tcPr>
            <w:tcW w:w="460" w:type="dxa"/>
            <w:vAlign w:val="bottom"/>
          </w:tcPr>
          <w:p>
            <w:pPr>
              <w:spacing w:after="0"/>
              <w:rPr>
                <w:sz w:val="16"/>
                <w:szCs w:val="16"/>
                <w:color w:val="auto"/>
              </w:rPr>
            </w:pPr>
          </w:p>
        </w:tc>
        <w:tc>
          <w:tcPr>
            <w:tcW w:w="86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28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rPr>
              <w:t>Title:</w:t>
            </w:r>
          </w:p>
        </w:tc>
        <w:tc>
          <w:tcPr>
            <w:tcW w:w="4160" w:type="dxa"/>
            <w:vAlign w:val="bottom"/>
          </w:tcPr>
          <w:p>
            <w:pPr>
              <w:ind w:left="280"/>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1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EXODUS MANAGEMENT ISRAEL LTD.</w:t>
      </w:r>
    </w:p>
    <w:p>
      <w:pPr>
        <w:spacing w:after="0" w:line="225"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Amir Efrati</w:t>
            </w:r>
          </w:p>
        </w:tc>
      </w:tr>
      <w:tr>
        <w:trPr>
          <w:trHeight w:val="195"/>
        </w:trPr>
        <w:tc>
          <w:tcPr>
            <w:tcW w:w="460" w:type="dxa"/>
            <w:vAlign w:val="bottom"/>
          </w:tcPr>
          <w:p>
            <w:pPr>
              <w:spacing w:after="0"/>
              <w:rPr>
                <w:sz w:val="16"/>
                <w:szCs w:val="16"/>
                <w:color w:val="auto"/>
              </w:rPr>
            </w:pPr>
          </w:p>
        </w:tc>
        <w:tc>
          <w:tcPr>
            <w:tcW w:w="86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28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rPr>
              <w:t>Title:</w:t>
            </w:r>
          </w:p>
        </w:tc>
        <w:tc>
          <w:tcPr>
            <w:tcW w:w="4160" w:type="dxa"/>
            <w:vAlign w:val="bottom"/>
          </w:tcPr>
          <w:p>
            <w:pPr>
              <w:ind w:left="280"/>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1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Amir Efrati</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Amir Efrati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Individually, and as attorney-in-fact for Aharon Biram and Ester Deutsch</w:t>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bullet"/>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2019-12-08T05:13:48Z</dcterms:created>
  <dcterms:modified xsi:type="dcterms:W3CDTF">2019-12-08T05:13:48Z</dcterms:modified>
</cp:coreProperties>
</file>